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rPr>
          <w:color w:val="auto"/>
        </w:rPr>
      </w:pPr>
      <w:bookmarkStart w:id="0" w:name="_Toc18270"/>
      <w:r>
        <w:rPr>
          <w:color w:val="auto"/>
        </w:rPr>
        <w:t>目  录</w:t>
      </w:r>
    </w:p>
    <w:p>
      <w:pPr>
        <w:pStyle w:val="22"/>
        <w:tabs>
          <w:tab w:val="right" w:leader="dot" w:pos="8844"/>
        </w:tabs>
        <w:adjustRightInd w:val="0"/>
        <w:snapToGrid w:val="0"/>
        <w:spacing w:line="360" w:lineRule="auto"/>
        <w:rPr>
          <w:b/>
          <w:sz w:val="24"/>
        </w:rPr>
      </w:pPr>
      <w:r>
        <w:rPr>
          <w:b/>
          <w:bCs/>
          <w:sz w:val="24"/>
        </w:rPr>
        <w:fldChar w:fldCharType="begin"/>
      </w:r>
      <w:r>
        <w:rPr>
          <w:b/>
          <w:bCs/>
          <w:sz w:val="24"/>
        </w:rPr>
        <w:instrText xml:space="preserve">TOC \o "1-1" \h \u </w:instrText>
      </w:r>
      <w:r>
        <w:rPr>
          <w:b/>
          <w:bCs/>
          <w:sz w:val="24"/>
        </w:rPr>
        <w:fldChar w:fldCharType="separate"/>
      </w:r>
      <w:r>
        <w:fldChar w:fldCharType="begin"/>
      </w:r>
      <w:r>
        <w:instrText xml:space="preserve"> HYPERLINK \l "_Toc16625" </w:instrText>
      </w:r>
      <w:r>
        <w:fldChar w:fldCharType="separate"/>
      </w:r>
      <w:r>
        <w:rPr>
          <w:b/>
          <w:bCs/>
          <w:snapToGrid w:val="0"/>
          <w:sz w:val="24"/>
        </w:rPr>
        <w:t>一、建设项目基本情况</w:t>
      </w:r>
      <w:r>
        <w:rPr>
          <w:b/>
          <w:sz w:val="24"/>
        </w:rPr>
        <w:tab/>
      </w:r>
      <w:r>
        <w:rPr>
          <w:b/>
          <w:sz w:val="24"/>
        </w:rPr>
        <w:t>1</w:t>
      </w:r>
      <w:r>
        <w:rPr>
          <w:b/>
          <w:sz w:val="24"/>
        </w:rPr>
        <w:fldChar w:fldCharType="end"/>
      </w:r>
    </w:p>
    <w:p>
      <w:pPr>
        <w:pStyle w:val="22"/>
        <w:tabs>
          <w:tab w:val="right" w:leader="dot" w:pos="8844"/>
        </w:tabs>
        <w:adjustRightInd w:val="0"/>
        <w:snapToGrid w:val="0"/>
        <w:spacing w:line="360" w:lineRule="auto"/>
        <w:rPr>
          <w:b/>
          <w:sz w:val="24"/>
        </w:rPr>
      </w:pPr>
      <w:r>
        <w:fldChar w:fldCharType="begin"/>
      </w:r>
      <w:r>
        <w:instrText xml:space="preserve"> HYPERLINK \l "_Toc29095" </w:instrText>
      </w:r>
      <w:r>
        <w:fldChar w:fldCharType="separate"/>
      </w:r>
      <w:r>
        <w:rPr>
          <w:b/>
          <w:bCs/>
          <w:snapToGrid w:val="0"/>
          <w:sz w:val="24"/>
        </w:rPr>
        <w:t>二、建设项目工程分析</w:t>
      </w:r>
      <w:r>
        <w:rPr>
          <w:b/>
          <w:sz w:val="24"/>
        </w:rPr>
        <w:tab/>
      </w:r>
      <w:r>
        <w:rPr>
          <w:b/>
          <w:sz w:val="24"/>
        </w:rPr>
        <w:fldChar w:fldCharType="begin"/>
      </w:r>
      <w:r>
        <w:rPr>
          <w:b/>
          <w:sz w:val="24"/>
        </w:rPr>
        <w:instrText xml:space="preserve"> PAGEREF _Toc29095 </w:instrText>
      </w:r>
      <w:r>
        <w:rPr>
          <w:b/>
          <w:sz w:val="24"/>
        </w:rPr>
        <w:fldChar w:fldCharType="separate"/>
      </w:r>
      <w:r>
        <w:rPr>
          <w:b/>
          <w:sz w:val="24"/>
        </w:rPr>
        <w:t>21</w:t>
      </w:r>
      <w:r>
        <w:rPr>
          <w:b/>
          <w:sz w:val="24"/>
        </w:rPr>
        <w:fldChar w:fldCharType="end"/>
      </w:r>
      <w:r>
        <w:rPr>
          <w:b/>
          <w:sz w:val="24"/>
        </w:rPr>
        <w:fldChar w:fldCharType="end"/>
      </w:r>
    </w:p>
    <w:p>
      <w:pPr>
        <w:pStyle w:val="22"/>
        <w:tabs>
          <w:tab w:val="right" w:leader="dot" w:pos="8844"/>
        </w:tabs>
        <w:adjustRightInd w:val="0"/>
        <w:snapToGrid w:val="0"/>
        <w:spacing w:line="360" w:lineRule="auto"/>
        <w:rPr>
          <w:b/>
          <w:sz w:val="24"/>
        </w:rPr>
      </w:pPr>
      <w:r>
        <w:fldChar w:fldCharType="begin"/>
      </w:r>
      <w:r>
        <w:instrText xml:space="preserve"> HYPERLINK \l "_Toc515" </w:instrText>
      </w:r>
      <w:r>
        <w:fldChar w:fldCharType="separate"/>
      </w:r>
      <w:r>
        <w:rPr>
          <w:b/>
          <w:bCs/>
          <w:snapToGrid w:val="0"/>
          <w:sz w:val="24"/>
        </w:rPr>
        <w:t>三、区域环境质量现状、环境保护目标及评价标准</w:t>
      </w:r>
      <w:r>
        <w:rPr>
          <w:b/>
          <w:sz w:val="24"/>
        </w:rPr>
        <w:tab/>
      </w:r>
      <w:r>
        <w:rPr>
          <w:b/>
          <w:sz w:val="24"/>
        </w:rPr>
        <w:fldChar w:fldCharType="begin"/>
      </w:r>
      <w:r>
        <w:rPr>
          <w:b/>
          <w:sz w:val="24"/>
        </w:rPr>
        <w:instrText xml:space="preserve"> PAGEREF _Toc515 </w:instrText>
      </w:r>
      <w:r>
        <w:rPr>
          <w:b/>
          <w:sz w:val="24"/>
        </w:rPr>
        <w:fldChar w:fldCharType="separate"/>
      </w:r>
      <w:r>
        <w:rPr>
          <w:b/>
          <w:sz w:val="24"/>
        </w:rPr>
        <w:t>44</w:t>
      </w:r>
      <w:r>
        <w:rPr>
          <w:b/>
          <w:sz w:val="24"/>
        </w:rPr>
        <w:fldChar w:fldCharType="end"/>
      </w:r>
      <w:r>
        <w:rPr>
          <w:b/>
          <w:sz w:val="24"/>
        </w:rPr>
        <w:fldChar w:fldCharType="end"/>
      </w:r>
    </w:p>
    <w:p>
      <w:pPr>
        <w:pStyle w:val="22"/>
        <w:tabs>
          <w:tab w:val="right" w:leader="dot" w:pos="8844"/>
        </w:tabs>
        <w:adjustRightInd w:val="0"/>
        <w:snapToGrid w:val="0"/>
        <w:spacing w:line="360" w:lineRule="auto"/>
        <w:rPr>
          <w:b/>
          <w:sz w:val="24"/>
        </w:rPr>
      </w:pPr>
      <w:r>
        <w:fldChar w:fldCharType="begin"/>
      </w:r>
      <w:r>
        <w:instrText xml:space="preserve"> HYPERLINK \l "_Toc32295" </w:instrText>
      </w:r>
      <w:r>
        <w:fldChar w:fldCharType="separate"/>
      </w:r>
      <w:r>
        <w:rPr>
          <w:b/>
          <w:bCs/>
          <w:snapToGrid w:val="0"/>
          <w:sz w:val="24"/>
        </w:rPr>
        <w:t>四、主要环境影响和保护措施</w:t>
      </w:r>
      <w:r>
        <w:rPr>
          <w:b/>
          <w:sz w:val="24"/>
        </w:rPr>
        <w:tab/>
      </w:r>
      <w:r>
        <w:rPr>
          <w:b/>
          <w:sz w:val="24"/>
        </w:rPr>
        <w:fldChar w:fldCharType="begin"/>
      </w:r>
      <w:r>
        <w:rPr>
          <w:b/>
          <w:sz w:val="24"/>
        </w:rPr>
        <w:instrText xml:space="preserve"> PAGEREF _Toc32295 </w:instrText>
      </w:r>
      <w:r>
        <w:rPr>
          <w:b/>
          <w:sz w:val="24"/>
        </w:rPr>
        <w:fldChar w:fldCharType="separate"/>
      </w:r>
      <w:r>
        <w:rPr>
          <w:b/>
          <w:sz w:val="24"/>
        </w:rPr>
        <w:t>54</w:t>
      </w:r>
      <w:r>
        <w:rPr>
          <w:b/>
          <w:sz w:val="24"/>
        </w:rPr>
        <w:fldChar w:fldCharType="end"/>
      </w:r>
      <w:r>
        <w:rPr>
          <w:b/>
          <w:sz w:val="24"/>
        </w:rPr>
        <w:fldChar w:fldCharType="end"/>
      </w:r>
    </w:p>
    <w:p>
      <w:pPr>
        <w:pStyle w:val="22"/>
        <w:tabs>
          <w:tab w:val="right" w:leader="dot" w:pos="8844"/>
        </w:tabs>
        <w:adjustRightInd w:val="0"/>
        <w:snapToGrid w:val="0"/>
        <w:spacing w:line="360" w:lineRule="auto"/>
        <w:rPr>
          <w:b/>
          <w:sz w:val="24"/>
        </w:rPr>
      </w:pPr>
      <w:r>
        <w:fldChar w:fldCharType="begin"/>
      </w:r>
      <w:r>
        <w:instrText xml:space="preserve"> HYPERLINK \l "_Toc1029" </w:instrText>
      </w:r>
      <w:r>
        <w:fldChar w:fldCharType="separate"/>
      </w:r>
      <w:r>
        <w:rPr>
          <w:b/>
          <w:bCs/>
          <w:snapToGrid w:val="0"/>
          <w:sz w:val="24"/>
        </w:rPr>
        <w:t>五、环境保护措施监督检查清单</w:t>
      </w:r>
      <w:r>
        <w:rPr>
          <w:b/>
          <w:sz w:val="24"/>
        </w:rPr>
        <w:tab/>
      </w:r>
      <w:r>
        <w:rPr>
          <w:b/>
          <w:sz w:val="24"/>
        </w:rPr>
        <w:fldChar w:fldCharType="begin"/>
      </w:r>
      <w:r>
        <w:rPr>
          <w:b/>
          <w:sz w:val="24"/>
        </w:rPr>
        <w:instrText xml:space="preserve"> PAGEREF _Toc1029 </w:instrText>
      </w:r>
      <w:r>
        <w:rPr>
          <w:b/>
          <w:sz w:val="24"/>
        </w:rPr>
        <w:fldChar w:fldCharType="separate"/>
      </w:r>
      <w:r>
        <w:rPr>
          <w:b/>
          <w:sz w:val="24"/>
        </w:rPr>
        <w:t>89</w:t>
      </w:r>
      <w:r>
        <w:rPr>
          <w:b/>
          <w:sz w:val="24"/>
        </w:rPr>
        <w:fldChar w:fldCharType="end"/>
      </w:r>
      <w:r>
        <w:rPr>
          <w:b/>
          <w:sz w:val="24"/>
        </w:rPr>
        <w:fldChar w:fldCharType="end"/>
      </w:r>
    </w:p>
    <w:p>
      <w:pPr>
        <w:pStyle w:val="22"/>
        <w:tabs>
          <w:tab w:val="right" w:leader="dot" w:pos="8844"/>
        </w:tabs>
        <w:adjustRightInd w:val="0"/>
        <w:snapToGrid w:val="0"/>
        <w:spacing w:line="360" w:lineRule="auto"/>
        <w:rPr>
          <w:b/>
          <w:sz w:val="24"/>
        </w:rPr>
      </w:pPr>
      <w:r>
        <w:fldChar w:fldCharType="begin"/>
      </w:r>
      <w:r>
        <w:instrText xml:space="preserve"> HYPERLINK \l "_Toc15808" </w:instrText>
      </w:r>
      <w:r>
        <w:fldChar w:fldCharType="separate"/>
      </w:r>
      <w:r>
        <w:rPr>
          <w:b/>
          <w:bCs/>
          <w:snapToGrid w:val="0"/>
          <w:sz w:val="24"/>
        </w:rPr>
        <w:t>六、结论</w:t>
      </w:r>
      <w:r>
        <w:rPr>
          <w:b/>
          <w:sz w:val="24"/>
        </w:rPr>
        <w:tab/>
      </w:r>
      <w:r>
        <w:rPr>
          <w:b/>
          <w:sz w:val="24"/>
        </w:rPr>
        <w:fldChar w:fldCharType="begin"/>
      </w:r>
      <w:r>
        <w:rPr>
          <w:b/>
          <w:sz w:val="24"/>
        </w:rPr>
        <w:instrText xml:space="preserve"> PAGEREF _Toc15808 </w:instrText>
      </w:r>
      <w:r>
        <w:rPr>
          <w:b/>
          <w:sz w:val="24"/>
        </w:rPr>
        <w:fldChar w:fldCharType="separate"/>
      </w:r>
      <w:r>
        <w:rPr>
          <w:b/>
          <w:sz w:val="24"/>
        </w:rPr>
        <w:t>95</w:t>
      </w:r>
      <w:r>
        <w:rPr>
          <w:b/>
          <w:sz w:val="24"/>
        </w:rPr>
        <w:fldChar w:fldCharType="end"/>
      </w:r>
      <w:r>
        <w:rPr>
          <w:b/>
          <w:sz w:val="24"/>
        </w:rPr>
        <w:fldChar w:fldCharType="end"/>
      </w:r>
    </w:p>
    <w:p>
      <w:pPr>
        <w:pStyle w:val="22"/>
        <w:tabs>
          <w:tab w:val="right" w:leader="dot" w:pos="8844"/>
        </w:tabs>
        <w:adjustRightInd w:val="0"/>
        <w:snapToGrid w:val="0"/>
        <w:spacing w:line="360" w:lineRule="auto"/>
        <w:rPr>
          <w:b/>
          <w:sz w:val="24"/>
        </w:rPr>
      </w:pPr>
      <w:r>
        <w:fldChar w:fldCharType="begin"/>
      </w:r>
      <w:r>
        <w:instrText xml:space="preserve"> HYPERLINK \l "_Toc16382" </w:instrText>
      </w:r>
      <w:r>
        <w:fldChar w:fldCharType="separate"/>
      </w:r>
      <w:r>
        <w:rPr>
          <w:b/>
          <w:bCs/>
          <w:snapToGrid w:val="0"/>
          <w:sz w:val="24"/>
        </w:rPr>
        <w:t>附表</w:t>
      </w:r>
      <w:r>
        <w:rPr>
          <w:b/>
          <w:sz w:val="24"/>
        </w:rPr>
        <w:tab/>
      </w:r>
      <w:r>
        <w:rPr>
          <w:b/>
          <w:sz w:val="24"/>
        </w:rPr>
        <w:fldChar w:fldCharType="begin"/>
      </w:r>
      <w:r>
        <w:rPr>
          <w:b/>
          <w:sz w:val="24"/>
        </w:rPr>
        <w:instrText xml:space="preserve"> PAGEREF _Toc16382 </w:instrText>
      </w:r>
      <w:r>
        <w:rPr>
          <w:b/>
          <w:sz w:val="24"/>
        </w:rPr>
        <w:fldChar w:fldCharType="separate"/>
      </w:r>
      <w:r>
        <w:rPr>
          <w:b/>
          <w:sz w:val="24"/>
        </w:rPr>
        <w:t>96</w:t>
      </w:r>
      <w:r>
        <w:rPr>
          <w:b/>
          <w:sz w:val="24"/>
        </w:rPr>
        <w:fldChar w:fldCharType="end"/>
      </w:r>
      <w:r>
        <w:rPr>
          <w:b/>
          <w:sz w:val="24"/>
        </w:rPr>
        <w:fldChar w:fldCharType="end"/>
      </w:r>
    </w:p>
    <w:p>
      <w:pPr>
        <w:pStyle w:val="24"/>
        <w:adjustRightInd w:val="0"/>
        <w:snapToGrid w:val="0"/>
        <w:spacing w:before="0" w:beforeAutospacing="0" w:after="0" w:afterAutospacing="0" w:line="360" w:lineRule="auto"/>
        <w:jc w:val="both"/>
        <w:rPr>
          <w:rFonts w:ascii="Times New Roman" w:hAnsi="Times New Roman"/>
          <w:bCs/>
          <w:szCs w:val="24"/>
        </w:rPr>
        <w:sectPr>
          <w:footerReference r:id="rId3" w:type="default"/>
          <w:pgSz w:w="11906" w:h="16838"/>
          <w:pgMar w:top="1701" w:right="1531" w:bottom="1701" w:left="1531" w:header="851" w:footer="1077" w:gutter="0"/>
          <w:cols w:space="720" w:num="1"/>
          <w:docGrid w:linePitch="312" w:charSpace="0"/>
        </w:sectPr>
      </w:pPr>
      <w:r>
        <w:rPr>
          <w:rFonts w:ascii="Times New Roman" w:hAnsi="Times New Roman"/>
          <w:b/>
          <w:bCs/>
          <w:szCs w:val="24"/>
        </w:rPr>
        <w:fldChar w:fldCharType="end"/>
      </w:r>
    </w:p>
    <w:p>
      <w:pPr>
        <w:spacing w:line="360" w:lineRule="auto"/>
        <w:jc w:val="left"/>
        <w:rPr>
          <w:b/>
          <w:sz w:val="24"/>
        </w:rPr>
      </w:pPr>
      <w:bookmarkStart w:id="1" w:name="_Toc16625"/>
      <w:r>
        <w:rPr>
          <w:b/>
          <w:sz w:val="24"/>
        </w:rPr>
        <w:t>附件：</w:t>
      </w:r>
    </w:p>
    <w:p>
      <w:pPr>
        <w:spacing w:line="360" w:lineRule="auto"/>
        <w:ind w:firstLine="480" w:firstLineChars="200"/>
        <w:rPr>
          <w:sz w:val="24"/>
        </w:rPr>
      </w:pPr>
      <w:r>
        <w:rPr>
          <w:sz w:val="24"/>
        </w:rPr>
        <w:t>附件1：环评委托书；</w:t>
      </w:r>
    </w:p>
    <w:p>
      <w:pPr>
        <w:spacing w:line="360" w:lineRule="auto"/>
        <w:ind w:firstLine="480" w:firstLineChars="200"/>
        <w:rPr>
          <w:sz w:val="24"/>
        </w:rPr>
      </w:pPr>
      <w:r>
        <w:rPr>
          <w:sz w:val="24"/>
        </w:rPr>
        <w:t>附件2：投资备案证</w:t>
      </w:r>
    </w:p>
    <w:p>
      <w:pPr>
        <w:spacing w:line="360" w:lineRule="auto"/>
        <w:ind w:firstLine="480" w:firstLineChars="200"/>
        <w:rPr>
          <w:sz w:val="24"/>
        </w:rPr>
      </w:pPr>
      <w:r>
        <w:rPr>
          <w:sz w:val="24"/>
        </w:rPr>
        <w:t>附件3：事业单位法人身份证书及法人身份证；</w:t>
      </w:r>
    </w:p>
    <w:p>
      <w:pPr>
        <w:spacing w:line="360" w:lineRule="auto"/>
        <w:ind w:firstLine="480" w:firstLineChars="200"/>
        <w:rPr>
          <w:sz w:val="24"/>
        </w:rPr>
      </w:pPr>
      <w:r>
        <w:rPr>
          <w:sz w:val="24"/>
        </w:rPr>
        <w:t>附件4 本项目生态红线查询结果</w:t>
      </w:r>
    </w:p>
    <w:p>
      <w:pPr>
        <w:spacing w:line="360" w:lineRule="auto"/>
        <w:ind w:firstLine="480" w:firstLineChars="200"/>
        <w:rPr>
          <w:sz w:val="24"/>
        </w:rPr>
      </w:pPr>
      <w:r>
        <w:rPr>
          <w:sz w:val="24"/>
        </w:rPr>
        <w:t>附件5 大理州生态环境局云龙分局环境违法行为处理结果</w:t>
      </w:r>
    </w:p>
    <w:p>
      <w:pPr>
        <w:spacing w:line="360" w:lineRule="auto"/>
        <w:ind w:firstLine="480" w:firstLineChars="200"/>
        <w:rPr>
          <w:sz w:val="24"/>
        </w:rPr>
      </w:pPr>
      <w:r>
        <w:rPr>
          <w:sz w:val="24"/>
        </w:rPr>
        <w:t>附件6：土地使用证明；</w:t>
      </w:r>
    </w:p>
    <w:p>
      <w:pPr>
        <w:spacing w:line="360" w:lineRule="auto"/>
        <w:ind w:firstLine="480" w:firstLineChars="200"/>
        <w:rPr>
          <w:sz w:val="24"/>
        </w:rPr>
      </w:pPr>
      <w:r>
        <w:rPr>
          <w:sz w:val="24"/>
        </w:rPr>
        <w:t>附件7 云龙公路分局沥青拌合站选址意见及饮用水源保护区查询意见</w:t>
      </w:r>
    </w:p>
    <w:p>
      <w:pPr>
        <w:spacing w:line="360" w:lineRule="auto"/>
        <w:ind w:firstLine="480" w:firstLineChars="200"/>
        <w:rPr>
          <w:sz w:val="24"/>
        </w:rPr>
      </w:pPr>
      <w:r>
        <w:rPr>
          <w:sz w:val="24"/>
        </w:rPr>
        <w:t>附件8 环境质量现状监测报告；</w:t>
      </w:r>
    </w:p>
    <w:p>
      <w:pPr>
        <w:spacing w:line="360" w:lineRule="auto"/>
        <w:ind w:firstLine="480" w:firstLineChars="200"/>
        <w:rPr>
          <w:sz w:val="24"/>
        </w:rPr>
      </w:pPr>
      <w:r>
        <w:rPr>
          <w:sz w:val="24"/>
        </w:rPr>
        <w:t>附件9 项目质量流程（三级审核）</w:t>
      </w:r>
    </w:p>
    <w:p>
      <w:pPr>
        <w:spacing w:line="360" w:lineRule="auto"/>
        <w:ind w:firstLine="480" w:firstLineChars="200"/>
        <w:rPr>
          <w:sz w:val="24"/>
        </w:rPr>
      </w:pPr>
      <w:r>
        <w:rPr>
          <w:sz w:val="24"/>
        </w:rPr>
        <w:t>附件10 危险废物处置协议</w:t>
      </w:r>
    </w:p>
    <w:p>
      <w:pPr>
        <w:spacing w:line="360" w:lineRule="auto"/>
        <w:ind w:firstLine="480" w:firstLineChars="200"/>
        <w:rPr>
          <w:sz w:val="24"/>
        </w:rPr>
      </w:pPr>
      <w:r>
        <w:rPr>
          <w:sz w:val="24"/>
        </w:rPr>
        <w:t>附件11 项目“三线一单”查询意见</w:t>
      </w:r>
    </w:p>
    <w:p>
      <w:pPr>
        <w:spacing w:line="360" w:lineRule="auto"/>
        <w:ind w:firstLine="480" w:firstLineChars="200"/>
        <w:rPr>
          <w:sz w:val="24"/>
        </w:rPr>
      </w:pPr>
    </w:p>
    <w:p>
      <w:pPr>
        <w:spacing w:line="360" w:lineRule="auto"/>
        <w:ind w:firstLine="422" w:firstLineChars="200"/>
        <w:rPr>
          <w:b/>
        </w:rPr>
      </w:pPr>
    </w:p>
    <w:p>
      <w:pPr>
        <w:spacing w:line="360" w:lineRule="auto"/>
        <w:jc w:val="left"/>
        <w:rPr>
          <w:b/>
          <w:sz w:val="24"/>
        </w:rPr>
      </w:pPr>
      <w:r>
        <w:rPr>
          <w:b/>
          <w:sz w:val="24"/>
        </w:rPr>
        <w:t>附图：</w:t>
      </w:r>
    </w:p>
    <w:p>
      <w:pPr>
        <w:spacing w:line="360" w:lineRule="auto"/>
        <w:ind w:firstLine="480" w:firstLineChars="200"/>
        <w:jc w:val="left"/>
        <w:rPr>
          <w:sz w:val="24"/>
        </w:rPr>
      </w:pPr>
      <w:r>
        <w:rPr>
          <w:sz w:val="24"/>
        </w:rPr>
        <w:t>附图1：项目区地理位置图；</w:t>
      </w:r>
    </w:p>
    <w:p>
      <w:pPr>
        <w:spacing w:line="360" w:lineRule="auto"/>
        <w:ind w:firstLine="480" w:firstLineChars="200"/>
        <w:jc w:val="left"/>
        <w:rPr>
          <w:sz w:val="24"/>
        </w:rPr>
      </w:pPr>
      <w:r>
        <w:rPr>
          <w:sz w:val="24"/>
        </w:rPr>
        <w:t>附图2：项目区域水系图；</w:t>
      </w:r>
    </w:p>
    <w:p>
      <w:pPr>
        <w:spacing w:line="360" w:lineRule="auto"/>
        <w:ind w:firstLine="480" w:firstLineChars="200"/>
        <w:jc w:val="left"/>
        <w:rPr>
          <w:sz w:val="24"/>
        </w:rPr>
      </w:pPr>
      <w:r>
        <w:rPr>
          <w:sz w:val="24"/>
        </w:rPr>
        <w:t>附图3：项目周边关系及环保目标图；</w:t>
      </w:r>
    </w:p>
    <w:p>
      <w:pPr>
        <w:spacing w:line="360" w:lineRule="auto"/>
        <w:ind w:firstLine="480" w:firstLineChars="200"/>
        <w:jc w:val="left"/>
        <w:rPr>
          <w:sz w:val="24"/>
        </w:rPr>
      </w:pPr>
      <w:r>
        <w:rPr>
          <w:sz w:val="24"/>
        </w:rPr>
        <w:t>附图3-1：大气环境影响评价范围图</w:t>
      </w:r>
    </w:p>
    <w:p>
      <w:pPr>
        <w:spacing w:line="360" w:lineRule="auto"/>
        <w:ind w:firstLine="480" w:firstLineChars="200"/>
        <w:jc w:val="left"/>
        <w:rPr>
          <w:sz w:val="24"/>
        </w:rPr>
      </w:pPr>
      <w:r>
        <w:rPr>
          <w:sz w:val="24"/>
        </w:rPr>
        <w:t>附图4：</w:t>
      </w:r>
      <w:r>
        <w:rPr>
          <w:rFonts w:hint="eastAsia"/>
          <w:sz w:val="24"/>
        </w:rPr>
        <w:t>项目区</w:t>
      </w:r>
      <w:r>
        <w:rPr>
          <w:sz w:val="24"/>
        </w:rPr>
        <w:t>平面布置示意图；</w:t>
      </w:r>
    </w:p>
    <w:p>
      <w:pPr>
        <w:spacing w:line="360" w:lineRule="auto"/>
        <w:ind w:firstLine="480" w:firstLineChars="200"/>
        <w:jc w:val="left"/>
        <w:rPr>
          <w:sz w:val="24"/>
        </w:rPr>
      </w:pPr>
      <w:r>
        <w:rPr>
          <w:sz w:val="24"/>
        </w:rPr>
        <w:t>附图5：项目区分区防渗示意图；</w:t>
      </w:r>
    </w:p>
    <w:p>
      <w:pPr>
        <w:spacing w:line="360" w:lineRule="auto"/>
        <w:ind w:firstLine="480" w:firstLineChars="200"/>
        <w:jc w:val="left"/>
        <w:rPr>
          <w:sz w:val="24"/>
        </w:rPr>
      </w:pPr>
      <w:r>
        <w:rPr>
          <w:sz w:val="24"/>
        </w:rPr>
        <w:t>附图6：现状监测点位示意图；</w:t>
      </w:r>
    </w:p>
    <w:p>
      <w:pPr>
        <w:spacing w:line="360" w:lineRule="auto"/>
        <w:ind w:firstLine="480" w:firstLineChars="200"/>
        <w:jc w:val="left"/>
        <w:rPr>
          <w:sz w:val="24"/>
        </w:rPr>
      </w:pPr>
      <w:r>
        <w:rPr>
          <w:sz w:val="24"/>
        </w:rPr>
        <w:t>附图7：卫生防护距离包络线图；</w:t>
      </w:r>
    </w:p>
    <w:p>
      <w:pPr>
        <w:spacing w:line="360" w:lineRule="auto"/>
        <w:ind w:firstLine="480" w:firstLineChars="200"/>
        <w:jc w:val="left"/>
        <w:rPr>
          <w:sz w:val="24"/>
        </w:rPr>
      </w:pPr>
    </w:p>
    <w:p>
      <w:pPr>
        <w:pStyle w:val="24"/>
        <w:adjustRightInd w:val="0"/>
        <w:snapToGrid w:val="0"/>
        <w:spacing w:before="0" w:beforeAutospacing="0" w:after="0" w:afterAutospacing="0" w:line="360" w:lineRule="auto"/>
        <w:jc w:val="both"/>
        <w:rPr>
          <w:rFonts w:ascii="Times New Roman" w:hAnsi="Times New Roman"/>
          <w:bCs/>
          <w:szCs w:val="24"/>
        </w:rPr>
        <w:sectPr>
          <w:pgSz w:w="11906" w:h="16838"/>
          <w:pgMar w:top="1701" w:right="1531" w:bottom="1701" w:left="1531" w:header="851" w:footer="1077" w:gutter="0"/>
          <w:cols w:space="720" w:num="1"/>
          <w:docGrid w:linePitch="312" w:charSpace="0"/>
        </w:sectPr>
      </w:pPr>
    </w:p>
    <w:p>
      <w:pPr>
        <w:pStyle w:val="107"/>
      </w:pPr>
      <w:r>
        <w:t>一、建设项目基本情况</w:t>
      </w:r>
      <w:bookmarkEnd w:id="0"/>
      <w:bookmarkEnd w:id="1"/>
    </w:p>
    <w:tbl>
      <w:tblPr>
        <w:tblStyle w:val="28"/>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8"/>
        <w:gridCol w:w="9"/>
        <w:gridCol w:w="3124"/>
        <w:gridCol w:w="1779"/>
        <w:gridCol w:w="3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建设项目名称</w:t>
            </w:r>
          </w:p>
        </w:tc>
        <w:tc>
          <w:tcPr>
            <w:tcW w:w="8162" w:type="dxa"/>
            <w:gridSpan w:val="4"/>
            <w:vAlign w:val="center"/>
          </w:tcPr>
          <w:p>
            <w:pPr>
              <w:pStyle w:val="118"/>
            </w:pPr>
            <w:r>
              <w:t>云龙公路分局沥青拌合站新建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项目代码</w:t>
            </w:r>
          </w:p>
        </w:tc>
        <w:tc>
          <w:tcPr>
            <w:tcW w:w="8162" w:type="dxa"/>
            <w:gridSpan w:val="4"/>
            <w:vAlign w:val="center"/>
          </w:tcPr>
          <w:p>
            <w:pPr>
              <w:adjustRightInd w:val="0"/>
              <w:snapToGrid w:val="0"/>
              <w:jc w:val="center"/>
              <w:rPr>
                <w:sz w:val="24"/>
              </w:rPr>
            </w:pPr>
            <w:r>
              <w:rPr>
                <w:sz w:val="24"/>
              </w:rPr>
              <w:t>2312-532929-04-05-894185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建设单位联系人</w:t>
            </w:r>
          </w:p>
        </w:tc>
        <w:tc>
          <w:tcPr>
            <w:tcW w:w="3133" w:type="dxa"/>
            <w:gridSpan w:val="2"/>
            <w:vAlign w:val="center"/>
          </w:tcPr>
          <w:p>
            <w:pPr>
              <w:adjustRightInd w:val="0"/>
              <w:snapToGrid w:val="0"/>
              <w:jc w:val="center"/>
              <w:rPr>
                <w:sz w:val="24"/>
              </w:rPr>
            </w:pPr>
            <w:r>
              <w:rPr>
                <w:sz w:val="24"/>
              </w:rPr>
              <w:t>杨雪飞</w:t>
            </w:r>
          </w:p>
        </w:tc>
        <w:tc>
          <w:tcPr>
            <w:tcW w:w="1779" w:type="dxa"/>
            <w:vAlign w:val="center"/>
          </w:tcPr>
          <w:p>
            <w:pPr>
              <w:adjustRightInd w:val="0"/>
              <w:snapToGrid w:val="0"/>
              <w:jc w:val="center"/>
              <w:rPr>
                <w:sz w:val="24"/>
              </w:rPr>
            </w:pPr>
            <w:r>
              <w:rPr>
                <w:sz w:val="24"/>
              </w:rPr>
              <w:t>联系方式</w:t>
            </w:r>
          </w:p>
        </w:tc>
        <w:tc>
          <w:tcPr>
            <w:tcW w:w="3250" w:type="dxa"/>
            <w:vAlign w:val="center"/>
          </w:tcPr>
          <w:p>
            <w:pPr>
              <w:adjustRightInd w:val="0"/>
              <w:snapToGrid w:val="0"/>
              <w:jc w:val="center"/>
              <w:rPr>
                <w:sz w:val="24"/>
              </w:rPr>
            </w:pPr>
            <w:r>
              <w:rPr>
                <w:rFonts w:eastAsia="仿宋"/>
                <w:sz w:val="24"/>
              </w:rPr>
              <w:t>13577270956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建设地点</w:t>
            </w:r>
          </w:p>
        </w:tc>
        <w:tc>
          <w:tcPr>
            <w:tcW w:w="8162" w:type="dxa"/>
            <w:gridSpan w:val="4"/>
            <w:vAlign w:val="center"/>
          </w:tcPr>
          <w:p>
            <w:pPr>
              <w:adjustRightInd w:val="0"/>
              <w:snapToGrid w:val="0"/>
              <w:jc w:val="center"/>
              <w:rPr>
                <w:sz w:val="24"/>
              </w:rPr>
            </w:pPr>
            <w:r>
              <w:rPr>
                <w:sz w:val="24"/>
              </w:rPr>
              <w:t>大理白族自治州云龙县团结乡河南箐口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地理坐标</w:t>
            </w:r>
          </w:p>
        </w:tc>
        <w:tc>
          <w:tcPr>
            <w:tcW w:w="8162" w:type="dxa"/>
            <w:gridSpan w:val="4"/>
            <w:vAlign w:val="center"/>
          </w:tcPr>
          <w:p>
            <w:pPr>
              <w:jc w:val="center"/>
              <w:rPr>
                <w:sz w:val="24"/>
              </w:rPr>
            </w:pPr>
            <w:r>
              <w:rPr>
                <w:sz w:val="24"/>
              </w:rPr>
              <w:t>（东经</w:t>
            </w:r>
            <w:r>
              <w:rPr>
                <w:sz w:val="24"/>
                <w:u w:val="single"/>
              </w:rPr>
              <w:t>99</w:t>
            </w:r>
            <w:r>
              <w:rPr>
                <w:sz w:val="24"/>
              </w:rPr>
              <w:t>度</w:t>
            </w:r>
            <w:r>
              <w:rPr>
                <w:sz w:val="24"/>
                <w:u w:val="single"/>
              </w:rPr>
              <w:t>37</w:t>
            </w:r>
            <w:r>
              <w:rPr>
                <w:sz w:val="24"/>
              </w:rPr>
              <w:t>分</w:t>
            </w:r>
            <w:r>
              <w:rPr>
                <w:sz w:val="24"/>
                <w:u w:val="single"/>
              </w:rPr>
              <w:t>43.339</w:t>
            </w:r>
            <w:r>
              <w:rPr>
                <w:sz w:val="24"/>
              </w:rPr>
              <w:t>秒，北纬</w:t>
            </w:r>
            <w:r>
              <w:rPr>
                <w:sz w:val="24"/>
                <w:u w:val="single"/>
              </w:rPr>
              <w:t>25</w:t>
            </w:r>
            <w:r>
              <w:rPr>
                <w:sz w:val="24"/>
              </w:rPr>
              <w:t>度</w:t>
            </w:r>
            <w:r>
              <w:rPr>
                <w:sz w:val="24"/>
                <w:u w:val="single"/>
              </w:rPr>
              <w:t>41</w:t>
            </w:r>
            <w:r>
              <w:rPr>
                <w:sz w:val="24"/>
              </w:rPr>
              <w:t>分</w:t>
            </w:r>
            <w:r>
              <w:rPr>
                <w:sz w:val="24"/>
                <w:u w:val="single"/>
              </w:rPr>
              <w:t>15.026</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3133" w:type="dxa"/>
            <w:gridSpan w:val="2"/>
            <w:vAlign w:val="center"/>
          </w:tcPr>
          <w:p>
            <w:pPr>
              <w:adjustRightInd w:val="0"/>
              <w:snapToGrid w:val="0"/>
              <w:jc w:val="center"/>
              <w:rPr>
                <w:sz w:val="24"/>
              </w:rPr>
            </w:pPr>
            <w:r>
              <w:rPr>
                <w:sz w:val="24"/>
              </w:rPr>
              <w:t>C3099 其他非金属矿物制品制造</w:t>
            </w:r>
          </w:p>
        </w:tc>
        <w:tc>
          <w:tcPr>
            <w:tcW w:w="1779" w:type="dxa"/>
            <w:vAlign w:val="center"/>
          </w:tcPr>
          <w:p>
            <w:pPr>
              <w:adjustRightInd w:val="0"/>
              <w:snapToGrid w:val="0"/>
              <w:jc w:val="center"/>
              <w:rPr>
                <w:sz w:val="24"/>
              </w:rPr>
            </w:pPr>
            <w:bookmarkStart w:id="2" w:name="_Hlk49843745"/>
            <w:r>
              <w:rPr>
                <w:sz w:val="24"/>
              </w:rPr>
              <w:t>建设项目</w:t>
            </w:r>
          </w:p>
          <w:p>
            <w:pPr>
              <w:adjustRightInd w:val="0"/>
              <w:snapToGrid w:val="0"/>
              <w:jc w:val="center"/>
              <w:rPr>
                <w:sz w:val="24"/>
              </w:rPr>
            </w:pPr>
            <w:r>
              <w:rPr>
                <w:sz w:val="24"/>
              </w:rPr>
              <w:t>行业类别</w:t>
            </w:r>
            <w:bookmarkEnd w:id="2"/>
          </w:p>
        </w:tc>
        <w:tc>
          <w:tcPr>
            <w:tcW w:w="3250" w:type="dxa"/>
            <w:vAlign w:val="center"/>
          </w:tcPr>
          <w:p>
            <w:pPr>
              <w:adjustRightInd w:val="0"/>
              <w:snapToGrid w:val="0"/>
              <w:jc w:val="center"/>
              <w:rPr>
                <w:sz w:val="24"/>
              </w:rPr>
            </w:pPr>
            <w:r>
              <w:rPr>
                <w:sz w:val="24"/>
              </w:rPr>
              <w:t>二十七、非金属矿物制品业 30，60.耐火材料制品制造 308；石墨及其他非金属矿物制品制造 309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建设性质</w:t>
            </w:r>
          </w:p>
        </w:tc>
        <w:tc>
          <w:tcPr>
            <w:tcW w:w="3133" w:type="dxa"/>
            <w:gridSpan w:val="2"/>
            <w:vAlign w:val="center"/>
          </w:tcPr>
          <w:p>
            <w:pPr>
              <w:jc w:val="left"/>
              <w:rPr>
                <w:sz w:val="24"/>
              </w:rPr>
            </w:pPr>
            <w:r>
              <w:rPr>
                <w:sz w:val="24"/>
              </w:rPr>
              <w:sym w:font="Wingdings 2" w:char="0052"/>
            </w:r>
            <w:r>
              <w:rPr>
                <w:sz w:val="24"/>
              </w:rPr>
              <w:t>新建（补办手续）</w:t>
            </w:r>
          </w:p>
          <w:p>
            <w:pPr>
              <w:jc w:val="left"/>
              <w:rPr>
                <w:sz w:val="24"/>
              </w:rPr>
            </w:pPr>
            <w:r>
              <w:rPr>
                <w:sz w:val="24"/>
              </w:rPr>
              <w:sym w:font="Wingdings 2" w:char="00A3"/>
            </w:r>
            <w:r>
              <w:rPr>
                <w:sz w:val="24"/>
              </w:rPr>
              <w:t>改建</w:t>
            </w:r>
          </w:p>
          <w:p>
            <w:pPr>
              <w:jc w:val="left"/>
              <w:rPr>
                <w:sz w:val="24"/>
              </w:rPr>
            </w:pPr>
            <w:r>
              <w:rPr>
                <w:sz w:val="24"/>
              </w:rPr>
              <w:sym w:font="Wingdings 2" w:char="00A3"/>
            </w:r>
            <w:r>
              <w:rPr>
                <w:sz w:val="24"/>
              </w:rPr>
              <w:t>扩建</w:t>
            </w:r>
          </w:p>
          <w:p>
            <w:pPr>
              <w:jc w:val="left"/>
              <w:rPr>
                <w:sz w:val="24"/>
              </w:rPr>
            </w:pPr>
            <w:r>
              <w:rPr>
                <w:sz w:val="24"/>
              </w:rPr>
              <w:sym w:font="Wingdings 2" w:char="00A3"/>
            </w:r>
            <w:r>
              <w:rPr>
                <w:sz w:val="24"/>
              </w:rPr>
              <w:t>技术改造</w:t>
            </w:r>
          </w:p>
        </w:tc>
        <w:tc>
          <w:tcPr>
            <w:tcW w:w="1779"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3250" w:type="dxa"/>
            <w:vAlign w:val="center"/>
          </w:tcPr>
          <w:p>
            <w:pPr>
              <w:jc w:val="left"/>
              <w:rPr>
                <w:sz w:val="24"/>
              </w:rPr>
            </w:pPr>
            <w:r>
              <w:rPr>
                <w:sz w:val="24"/>
              </w:rPr>
              <w:sym w:font="Wingdings 2" w:char="0052"/>
            </w:r>
            <w:r>
              <w:rPr>
                <w:sz w:val="24"/>
              </w:rPr>
              <w:t>首次申报项目</w:t>
            </w:r>
          </w:p>
          <w:p>
            <w:pPr>
              <w:jc w:val="left"/>
              <w:rPr>
                <w:sz w:val="24"/>
              </w:rPr>
            </w:pPr>
            <w:r>
              <w:rPr>
                <w:sz w:val="24"/>
              </w:rPr>
              <w:sym w:font="Wingdings 2" w:char="00A3"/>
            </w:r>
            <w:r>
              <w:rPr>
                <w:sz w:val="24"/>
              </w:rPr>
              <w:t>不予批准后再次申报项目</w:t>
            </w:r>
          </w:p>
          <w:p>
            <w:pPr>
              <w:jc w:val="left"/>
              <w:rPr>
                <w:sz w:val="24"/>
              </w:rPr>
            </w:pPr>
            <w:r>
              <w:rPr>
                <w:sz w:val="24"/>
              </w:rPr>
              <w:sym w:font="Wingdings 2" w:char="00A3"/>
            </w:r>
            <w:r>
              <w:rPr>
                <w:sz w:val="24"/>
              </w:rPr>
              <w:t>超五年重新审核项目</w:t>
            </w:r>
          </w:p>
          <w:p>
            <w:pPr>
              <w:jc w:val="left"/>
              <w:rPr>
                <w:sz w:val="24"/>
              </w:rPr>
            </w:pPr>
            <w:r>
              <w:rPr>
                <w:sz w:val="24"/>
              </w:rPr>
              <w:sym w:font="Wingdings 2" w:char="00A3"/>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w:t>
            </w:r>
          </w:p>
        </w:tc>
        <w:tc>
          <w:tcPr>
            <w:tcW w:w="3133" w:type="dxa"/>
            <w:gridSpan w:val="2"/>
            <w:vAlign w:val="center"/>
          </w:tcPr>
          <w:p>
            <w:pPr>
              <w:adjustRightInd w:val="0"/>
              <w:snapToGrid w:val="0"/>
              <w:jc w:val="center"/>
              <w:rPr>
                <w:sz w:val="24"/>
              </w:rPr>
            </w:pPr>
            <w:r>
              <w:rPr>
                <w:sz w:val="24"/>
              </w:rPr>
              <w:t>云龙县发展和改革局</w:t>
            </w:r>
          </w:p>
        </w:tc>
        <w:tc>
          <w:tcPr>
            <w:tcW w:w="1779"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w:t>
            </w:r>
          </w:p>
        </w:tc>
        <w:tc>
          <w:tcPr>
            <w:tcW w:w="3250" w:type="dxa"/>
            <w:vAlign w:val="center"/>
          </w:tcPr>
          <w:p>
            <w:pPr>
              <w:adjustRightInd w:val="0"/>
              <w:snapToGrid w:val="0"/>
              <w:jc w:val="center"/>
              <w:rPr>
                <w:sz w:val="24"/>
              </w:rPr>
            </w:pPr>
            <w:r>
              <w:rPr>
                <w:sz w:val="24"/>
              </w:rPr>
              <w:t>龙发改投资备案[2023]57号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总投资（万元）</w:t>
            </w:r>
          </w:p>
        </w:tc>
        <w:tc>
          <w:tcPr>
            <w:tcW w:w="3133" w:type="dxa"/>
            <w:gridSpan w:val="2"/>
            <w:vAlign w:val="center"/>
          </w:tcPr>
          <w:p>
            <w:pPr>
              <w:adjustRightInd w:val="0"/>
              <w:snapToGrid w:val="0"/>
              <w:jc w:val="center"/>
              <w:rPr>
                <w:sz w:val="24"/>
              </w:rPr>
            </w:pPr>
            <w:r>
              <w:rPr>
                <w:sz w:val="24"/>
              </w:rPr>
              <w:t>129.8</w:t>
            </w:r>
          </w:p>
        </w:tc>
        <w:tc>
          <w:tcPr>
            <w:tcW w:w="1779" w:type="dxa"/>
            <w:tcMar>
              <w:top w:w="16" w:type="dxa"/>
              <w:left w:w="16" w:type="dxa"/>
              <w:right w:w="16" w:type="dxa"/>
            </w:tcMar>
            <w:vAlign w:val="center"/>
          </w:tcPr>
          <w:p>
            <w:pPr>
              <w:adjustRightInd w:val="0"/>
              <w:snapToGrid w:val="0"/>
              <w:jc w:val="center"/>
              <w:rPr>
                <w:sz w:val="24"/>
              </w:rPr>
            </w:pPr>
            <w:r>
              <w:rPr>
                <w:sz w:val="24"/>
              </w:rPr>
              <w:t>环保投资（万元）</w:t>
            </w:r>
          </w:p>
        </w:tc>
        <w:tc>
          <w:tcPr>
            <w:tcW w:w="3250" w:type="dxa"/>
            <w:vAlign w:val="center"/>
          </w:tcPr>
          <w:p>
            <w:pPr>
              <w:adjustRightInd w:val="0"/>
              <w:snapToGrid w:val="0"/>
              <w:jc w:val="center"/>
              <w:rPr>
                <w:sz w:val="24"/>
              </w:rPr>
            </w:pPr>
            <w:r>
              <w:rPr>
                <w:sz w:val="24"/>
              </w:rPr>
              <w:t>43.6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环保投资占比（%）</w:t>
            </w:r>
          </w:p>
        </w:tc>
        <w:tc>
          <w:tcPr>
            <w:tcW w:w="3133" w:type="dxa"/>
            <w:gridSpan w:val="2"/>
            <w:vAlign w:val="center"/>
          </w:tcPr>
          <w:p>
            <w:pPr>
              <w:adjustRightInd w:val="0"/>
              <w:snapToGrid w:val="0"/>
              <w:jc w:val="center"/>
              <w:rPr>
                <w:sz w:val="24"/>
              </w:rPr>
            </w:pPr>
            <w:r>
              <w:rPr>
                <w:sz w:val="24"/>
              </w:rPr>
              <w:t>33.59</w:t>
            </w:r>
          </w:p>
        </w:tc>
        <w:tc>
          <w:tcPr>
            <w:tcW w:w="1779" w:type="dxa"/>
            <w:tcMar>
              <w:top w:w="16" w:type="dxa"/>
              <w:left w:w="16" w:type="dxa"/>
              <w:right w:w="16" w:type="dxa"/>
            </w:tcMar>
            <w:vAlign w:val="center"/>
          </w:tcPr>
          <w:p>
            <w:pPr>
              <w:adjustRightInd w:val="0"/>
              <w:snapToGrid w:val="0"/>
              <w:jc w:val="center"/>
              <w:rPr>
                <w:sz w:val="24"/>
              </w:rPr>
            </w:pPr>
            <w:r>
              <w:rPr>
                <w:sz w:val="24"/>
              </w:rPr>
              <w:t>施工工期</w:t>
            </w:r>
          </w:p>
        </w:tc>
        <w:tc>
          <w:tcPr>
            <w:tcW w:w="3250" w:type="dxa"/>
            <w:vAlign w:val="center"/>
          </w:tcPr>
          <w:p>
            <w:pPr>
              <w:adjustRightInd w:val="0"/>
              <w:snapToGrid w:val="0"/>
              <w:jc w:val="cente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708" w:type="dxa"/>
            <w:tcMar>
              <w:top w:w="16" w:type="dxa"/>
              <w:left w:w="16" w:type="dxa"/>
              <w:right w:w="16" w:type="dxa"/>
            </w:tcMar>
            <w:vAlign w:val="center"/>
          </w:tcPr>
          <w:p>
            <w:pPr>
              <w:adjustRightInd w:val="0"/>
              <w:snapToGrid w:val="0"/>
              <w:jc w:val="center"/>
              <w:rPr>
                <w:sz w:val="24"/>
              </w:rPr>
            </w:pPr>
            <w:r>
              <w:rPr>
                <w:sz w:val="24"/>
              </w:rPr>
              <w:t>是否开工建设</w:t>
            </w:r>
          </w:p>
        </w:tc>
        <w:tc>
          <w:tcPr>
            <w:tcW w:w="3133" w:type="dxa"/>
            <w:gridSpan w:val="2"/>
            <w:vAlign w:val="center"/>
          </w:tcPr>
          <w:p>
            <w:pPr>
              <w:adjustRightInd w:val="0"/>
              <w:snapToGrid w:val="0"/>
              <w:rPr>
                <w:sz w:val="24"/>
              </w:rPr>
            </w:pPr>
            <w:r>
              <w:rPr>
                <w:sz w:val="24"/>
              </w:rPr>
              <w:sym w:font="Wingdings 2" w:char="00A3"/>
            </w:r>
            <w:r>
              <w:rPr>
                <w:sz w:val="24"/>
              </w:rPr>
              <w:t>否</w:t>
            </w:r>
          </w:p>
          <w:p>
            <w:pPr>
              <w:pStyle w:val="40"/>
              <w:rPr>
                <w:color w:val="auto"/>
              </w:rPr>
            </w:pPr>
            <w:r>
              <w:rPr>
                <w:color w:val="auto"/>
              </w:rPr>
              <w:sym w:font="Wingdings 2" w:char="0052"/>
            </w:r>
            <w:r>
              <w:rPr>
                <w:color w:val="auto"/>
              </w:rPr>
              <w:t>是：</w:t>
            </w:r>
            <w:r>
              <w:rPr>
                <w:color w:val="auto"/>
                <w:u w:val="single"/>
              </w:rPr>
              <w:t>云龙公路分局沥青拌合站新建项目已于2016年5月建设完成并投入运行，主要建设有沥青搅拌楼1座，50t电加热沥青储存罐1只、10t常压柴油双层储存罐一只和危险废物暂存间等配套设施。2024年3月6日大理州生态环境局云龙分局对项目现场进行检查，并于2024年4月7日出具了《关于云龙公路分局沥青拌合站建设项目环境违法行为的核查处理结果》：鉴于云龙县沥青拌合站新建项目建设至今未发生环境污染事故，无相关信访举报；云龙公路分局积极开展环评手续办理工作。处理结果如下：项目建成至今已超过两年，对“未批先建”违法行为不再进行追溯；你单位的“未验先投”行为属于首次违法，符合《中华人民共和国行政处罚法》第三十二条第一款:“当事人有下列情形之一，应当从轻或者减轻行政处罚。主动消除或者减轻违法行为危害后果的”可以减轻处罚、对环境危害较小的情形符合“首违不罚”条件，结合服务我县道路维修、搞好营商环境等工作要求，经我局班子会研究决定，对你单位“未验先投”行为不予处罚。目前，本项目正在办理相关环保手续。</w:t>
            </w:r>
          </w:p>
        </w:tc>
        <w:tc>
          <w:tcPr>
            <w:tcW w:w="1779"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w:t>
            </w:r>
          </w:p>
        </w:tc>
        <w:tc>
          <w:tcPr>
            <w:tcW w:w="3250" w:type="dxa"/>
            <w:vAlign w:val="center"/>
          </w:tcPr>
          <w:p>
            <w:pPr>
              <w:adjustRightInd w:val="0"/>
              <w:snapToGrid w:val="0"/>
              <w:jc w:val="center"/>
              <w:rPr>
                <w:sz w:val="24"/>
              </w:rPr>
            </w:pPr>
            <w:r>
              <w:rPr>
                <w:sz w:val="24"/>
              </w:rPr>
              <w:t>2565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gridSpan w:val="2"/>
            <w:vAlign w:val="center"/>
          </w:tcPr>
          <w:p>
            <w:pPr>
              <w:autoSpaceDE w:val="0"/>
              <w:autoSpaceDN w:val="0"/>
              <w:adjustRightInd w:val="0"/>
              <w:snapToGrid w:val="0"/>
              <w:jc w:val="center"/>
              <w:rPr>
                <w:kern w:val="0"/>
                <w:sz w:val="24"/>
              </w:rPr>
            </w:pPr>
            <w:r>
              <w:rPr>
                <w:kern w:val="0"/>
                <w:sz w:val="24"/>
              </w:rPr>
              <w:t>专项评价设置情况</w:t>
            </w:r>
          </w:p>
        </w:tc>
        <w:tc>
          <w:tcPr>
            <w:tcW w:w="8153" w:type="dxa"/>
            <w:gridSpan w:val="3"/>
            <w:vAlign w:val="center"/>
          </w:tcPr>
          <w:p>
            <w:pPr>
              <w:pStyle w:val="114"/>
            </w:pPr>
            <w:r>
              <w:t>表1-1   专项评价设置一览表</w:t>
            </w:r>
          </w:p>
          <w:tbl>
            <w:tblPr>
              <w:tblStyle w:val="28"/>
              <w:tblW w:w="7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4"/>
              <w:gridCol w:w="2503"/>
              <w:gridCol w:w="295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7" w:type="dxa"/>
                  <w:vAlign w:val="center"/>
                </w:tcPr>
                <w:p>
                  <w:pPr>
                    <w:pStyle w:val="146"/>
                    <w:rPr>
                      <w:b w:val="0"/>
                      <w:color w:val="auto"/>
                      <w:sz w:val="21"/>
                      <w:szCs w:val="21"/>
                    </w:rPr>
                  </w:pPr>
                  <w:r>
                    <w:rPr>
                      <w:b w:val="0"/>
                      <w:color w:val="auto"/>
                      <w:sz w:val="21"/>
                      <w:szCs w:val="21"/>
                    </w:rPr>
                    <w:t>序号</w:t>
                  </w:r>
                </w:p>
              </w:tc>
              <w:tc>
                <w:tcPr>
                  <w:tcW w:w="1134" w:type="dxa"/>
                  <w:vAlign w:val="center"/>
                </w:tcPr>
                <w:p>
                  <w:pPr>
                    <w:pStyle w:val="146"/>
                    <w:rPr>
                      <w:b w:val="0"/>
                      <w:color w:val="auto"/>
                      <w:sz w:val="21"/>
                      <w:szCs w:val="21"/>
                    </w:rPr>
                  </w:pPr>
                  <w:r>
                    <w:rPr>
                      <w:b w:val="0"/>
                      <w:color w:val="auto"/>
                      <w:sz w:val="21"/>
                      <w:szCs w:val="21"/>
                    </w:rPr>
                    <w:t>专题评价的类别</w:t>
                  </w:r>
                </w:p>
              </w:tc>
              <w:tc>
                <w:tcPr>
                  <w:tcW w:w="2503" w:type="dxa"/>
                  <w:vAlign w:val="center"/>
                </w:tcPr>
                <w:p>
                  <w:pPr>
                    <w:pStyle w:val="146"/>
                    <w:rPr>
                      <w:b w:val="0"/>
                      <w:color w:val="auto"/>
                      <w:sz w:val="21"/>
                      <w:szCs w:val="21"/>
                    </w:rPr>
                  </w:pPr>
                  <w:r>
                    <w:rPr>
                      <w:b w:val="0"/>
                      <w:color w:val="auto"/>
                      <w:sz w:val="21"/>
                      <w:szCs w:val="21"/>
                    </w:rPr>
                    <w:t>设置原则</w:t>
                  </w:r>
                </w:p>
              </w:tc>
              <w:tc>
                <w:tcPr>
                  <w:tcW w:w="2951" w:type="dxa"/>
                  <w:vAlign w:val="center"/>
                </w:tcPr>
                <w:p>
                  <w:pPr>
                    <w:pStyle w:val="146"/>
                    <w:rPr>
                      <w:b w:val="0"/>
                      <w:color w:val="auto"/>
                      <w:sz w:val="21"/>
                      <w:szCs w:val="21"/>
                    </w:rPr>
                  </w:pPr>
                  <w:r>
                    <w:rPr>
                      <w:b w:val="0"/>
                      <w:color w:val="auto"/>
                      <w:sz w:val="21"/>
                      <w:szCs w:val="21"/>
                    </w:rPr>
                    <w:t>本项目建设情况</w:t>
                  </w:r>
                </w:p>
              </w:tc>
              <w:tc>
                <w:tcPr>
                  <w:tcW w:w="662" w:type="dxa"/>
                  <w:vAlign w:val="center"/>
                </w:tcPr>
                <w:p>
                  <w:pPr>
                    <w:pStyle w:val="146"/>
                    <w:rPr>
                      <w:b w:val="0"/>
                      <w:color w:val="auto"/>
                      <w:sz w:val="21"/>
                      <w:szCs w:val="21"/>
                    </w:rPr>
                  </w:pPr>
                  <w:r>
                    <w:rPr>
                      <w:b w:val="0"/>
                      <w:color w:val="auto"/>
                      <w:sz w:val="21"/>
                      <w:szCs w:val="21"/>
                    </w:rPr>
                    <w:t>专项评价设置情况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77" w:type="dxa"/>
                  <w:vAlign w:val="center"/>
                </w:tcPr>
                <w:p>
                  <w:pPr>
                    <w:pStyle w:val="146"/>
                    <w:rPr>
                      <w:b w:val="0"/>
                      <w:color w:val="auto"/>
                      <w:sz w:val="21"/>
                      <w:szCs w:val="21"/>
                    </w:rPr>
                  </w:pPr>
                  <w:r>
                    <w:rPr>
                      <w:b w:val="0"/>
                      <w:color w:val="auto"/>
                      <w:sz w:val="21"/>
                      <w:szCs w:val="21"/>
                    </w:rPr>
                    <w:t>1</w:t>
                  </w:r>
                </w:p>
              </w:tc>
              <w:tc>
                <w:tcPr>
                  <w:tcW w:w="1134" w:type="dxa"/>
                  <w:vAlign w:val="center"/>
                </w:tcPr>
                <w:p>
                  <w:pPr>
                    <w:pStyle w:val="146"/>
                    <w:rPr>
                      <w:b w:val="0"/>
                      <w:color w:val="auto"/>
                      <w:sz w:val="21"/>
                      <w:szCs w:val="21"/>
                    </w:rPr>
                  </w:pPr>
                  <w:r>
                    <w:rPr>
                      <w:b w:val="0"/>
                      <w:color w:val="auto"/>
                      <w:sz w:val="21"/>
                      <w:szCs w:val="21"/>
                    </w:rPr>
                    <w:t>大气</w:t>
                  </w:r>
                </w:p>
              </w:tc>
              <w:tc>
                <w:tcPr>
                  <w:tcW w:w="2503" w:type="dxa"/>
                  <w:vAlign w:val="center"/>
                </w:tcPr>
                <w:p>
                  <w:pPr>
                    <w:pStyle w:val="146"/>
                    <w:rPr>
                      <w:b w:val="0"/>
                      <w:color w:val="auto"/>
                      <w:sz w:val="21"/>
                      <w:szCs w:val="21"/>
                    </w:rPr>
                  </w:pPr>
                  <w:r>
                    <w:rPr>
                      <w:b w:val="0"/>
                      <w:color w:val="auto"/>
                      <w:sz w:val="21"/>
                      <w:szCs w:val="21"/>
                    </w:rPr>
                    <w:t>排放废气含有毒有害污染物</w:t>
                  </w:r>
                  <w:r>
                    <w:rPr>
                      <w:b w:val="0"/>
                      <w:color w:val="auto"/>
                      <w:sz w:val="21"/>
                      <w:szCs w:val="21"/>
                      <w:vertAlign w:val="superscript"/>
                    </w:rPr>
                    <w:t>1</w:t>
                  </w:r>
                  <w:r>
                    <w:rPr>
                      <w:b w:val="0"/>
                      <w:color w:val="auto"/>
                      <w:sz w:val="21"/>
                      <w:szCs w:val="21"/>
                    </w:rPr>
                    <w:t>、二噁英、苯并〔a〕芘、氰化物、氯气且厂界外500m范围内有环境空气保护目标</w:t>
                  </w:r>
                  <w:r>
                    <w:rPr>
                      <w:b w:val="0"/>
                      <w:color w:val="auto"/>
                      <w:sz w:val="21"/>
                      <w:szCs w:val="21"/>
                      <w:vertAlign w:val="superscript"/>
                    </w:rPr>
                    <w:t>2</w:t>
                  </w:r>
                  <w:r>
                    <w:rPr>
                      <w:b w:val="0"/>
                      <w:color w:val="auto"/>
                      <w:sz w:val="21"/>
                      <w:szCs w:val="21"/>
                    </w:rPr>
                    <w:t>的建设项目</w:t>
                  </w:r>
                </w:p>
              </w:tc>
              <w:tc>
                <w:tcPr>
                  <w:tcW w:w="2951" w:type="dxa"/>
                  <w:vAlign w:val="center"/>
                </w:tcPr>
                <w:p>
                  <w:pPr>
                    <w:pStyle w:val="146"/>
                    <w:rPr>
                      <w:b w:val="0"/>
                      <w:color w:val="auto"/>
                      <w:sz w:val="21"/>
                      <w:szCs w:val="21"/>
                    </w:rPr>
                  </w:pPr>
                  <w:r>
                    <w:rPr>
                      <w:b w:val="0"/>
                      <w:color w:val="auto"/>
                      <w:sz w:val="21"/>
                      <w:szCs w:val="21"/>
                    </w:rPr>
                    <w:t>项目营运期在沥青保温、加热以及搅拌过程排放沥青烟气中含苯并[a]芘，为有毒有害物质，且项目厂界500m范围内的云龙公路分局河南石料场公路养护配套改扩建项目生活区、门阶村散户（7户）为农村地区中人群较集中的区域，属于本项目环境空气保护目标。因此，项目设置大气专项评价。</w:t>
                  </w:r>
                </w:p>
              </w:tc>
              <w:tc>
                <w:tcPr>
                  <w:tcW w:w="662" w:type="dxa"/>
                  <w:vAlign w:val="center"/>
                </w:tcPr>
                <w:p>
                  <w:pPr>
                    <w:pStyle w:val="146"/>
                    <w:rPr>
                      <w:b w:val="0"/>
                      <w:color w:val="auto"/>
                      <w:sz w:val="21"/>
                      <w:szCs w:val="21"/>
                    </w:rPr>
                  </w:pPr>
                  <w:r>
                    <w:rPr>
                      <w:b w:val="0"/>
                      <w:color w:val="auto"/>
                      <w:sz w:val="21"/>
                      <w:szCs w:val="21"/>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7" w:type="dxa"/>
                  <w:vAlign w:val="center"/>
                </w:tcPr>
                <w:p>
                  <w:pPr>
                    <w:pStyle w:val="146"/>
                    <w:rPr>
                      <w:b w:val="0"/>
                      <w:color w:val="auto"/>
                      <w:sz w:val="21"/>
                      <w:szCs w:val="21"/>
                    </w:rPr>
                  </w:pPr>
                  <w:r>
                    <w:rPr>
                      <w:b w:val="0"/>
                      <w:color w:val="auto"/>
                      <w:sz w:val="21"/>
                      <w:szCs w:val="21"/>
                    </w:rPr>
                    <w:t>2</w:t>
                  </w:r>
                </w:p>
              </w:tc>
              <w:tc>
                <w:tcPr>
                  <w:tcW w:w="1134" w:type="dxa"/>
                  <w:vAlign w:val="center"/>
                </w:tcPr>
                <w:p>
                  <w:pPr>
                    <w:pStyle w:val="146"/>
                    <w:rPr>
                      <w:b w:val="0"/>
                      <w:color w:val="auto"/>
                      <w:sz w:val="21"/>
                      <w:szCs w:val="21"/>
                    </w:rPr>
                  </w:pPr>
                  <w:r>
                    <w:rPr>
                      <w:b w:val="0"/>
                      <w:color w:val="auto"/>
                      <w:sz w:val="21"/>
                      <w:szCs w:val="21"/>
                    </w:rPr>
                    <w:t>地表水</w:t>
                  </w:r>
                </w:p>
              </w:tc>
              <w:tc>
                <w:tcPr>
                  <w:tcW w:w="2503" w:type="dxa"/>
                  <w:vAlign w:val="center"/>
                </w:tcPr>
                <w:p>
                  <w:pPr>
                    <w:pStyle w:val="146"/>
                    <w:rPr>
                      <w:b w:val="0"/>
                      <w:color w:val="auto"/>
                      <w:sz w:val="21"/>
                      <w:szCs w:val="21"/>
                    </w:rPr>
                  </w:pPr>
                  <w:r>
                    <w:rPr>
                      <w:b w:val="0"/>
                      <w:color w:val="auto"/>
                      <w:sz w:val="21"/>
                      <w:szCs w:val="21"/>
                    </w:rPr>
                    <w:t>新增工业废水直排建设项目（槽罐车外送污水处理厂的除外）；新增废水直排的污水集中处理厂</w:t>
                  </w:r>
                </w:p>
              </w:tc>
              <w:tc>
                <w:tcPr>
                  <w:tcW w:w="2951" w:type="dxa"/>
                  <w:vAlign w:val="center"/>
                </w:tcPr>
                <w:p>
                  <w:pPr>
                    <w:pStyle w:val="146"/>
                    <w:rPr>
                      <w:b w:val="0"/>
                      <w:color w:val="auto"/>
                      <w:sz w:val="21"/>
                      <w:szCs w:val="21"/>
                    </w:rPr>
                  </w:pPr>
                  <w:r>
                    <w:rPr>
                      <w:b w:val="0"/>
                      <w:color w:val="auto"/>
                      <w:sz w:val="21"/>
                      <w:szCs w:val="21"/>
                    </w:rPr>
                    <w:t>本项目运行期产生的生活污水依托云龙公路分局河南石料场公路养护配套改扩建项目现有旱厕处理后，委托附近村民定期清掏施肥；生产废水（循环冷却水）采用废水储存罐收集后及时运送到沥青路面摊铺现场作为乳化沥青配浆用水使用，均不向外环境排放。故本次评价地表水不开展专项评价</w:t>
                  </w:r>
                </w:p>
              </w:tc>
              <w:tc>
                <w:tcPr>
                  <w:tcW w:w="662" w:type="dxa"/>
                  <w:vAlign w:val="center"/>
                </w:tcPr>
                <w:p>
                  <w:pPr>
                    <w:pStyle w:val="146"/>
                    <w:rPr>
                      <w:b w:val="0"/>
                      <w:color w:val="auto"/>
                      <w:sz w:val="21"/>
                      <w:szCs w:val="21"/>
                    </w:rPr>
                  </w:pPr>
                  <w:r>
                    <w:rPr>
                      <w:b w:val="0"/>
                      <w:color w:val="auto"/>
                      <w:sz w:val="21"/>
                      <w:szCs w:val="21"/>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677" w:type="dxa"/>
                  <w:vAlign w:val="center"/>
                </w:tcPr>
                <w:p>
                  <w:pPr>
                    <w:pStyle w:val="146"/>
                    <w:rPr>
                      <w:b w:val="0"/>
                      <w:color w:val="auto"/>
                      <w:sz w:val="21"/>
                      <w:szCs w:val="21"/>
                    </w:rPr>
                  </w:pPr>
                  <w:r>
                    <w:rPr>
                      <w:b w:val="0"/>
                      <w:color w:val="auto"/>
                      <w:sz w:val="21"/>
                      <w:szCs w:val="21"/>
                    </w:rPr>
                    <w:t>3</w:t>
                  </w:r>
                </w:p>
              </w:tc>
              <w:tc>
                <w:tcPr>
                  <w:tcW w:w="1134" w:type="dxa"/>
                  <w:vAlign w:val="center"/>
                </w:tcPr>
                <w:p>
                  <w:pPr>
                    <w:pStyle w:val="146"/>
                    <w:rPr>
                      <w:b w:val="0"/>
                      <w:color w:val="auto"/>
                      <w:sz w:val="21"/>
                      <w:szCs w:val="21"/>
                    </w:rPr>
                  </w:pPr>
                  <w:r>
                    <w:rPr>
                      <w:b w:val="0"/>
                      <w:color w:val="auto"/>
                      <w:sz w:val="21"/>
                      <w:szCs w:val="21"/>
                    </w:rPr>
                    <w:t>环境风险</w:t>
                  </w:r>
                </w:p>
              </w:tc>
              <w:tc>
                <w:tcPr>
                  <w:tcW w:w="2503" w:type="dxa"/>
                  <w:vAlign w:val="center"/>
                </w:tcPr>
                <w:p>
                  <w:pPr>
                    <w:pStyle w:val="146"/>
                    <w:rPr>
                      <w:b w:val="0"/>
                      <w:color w:val="auto"/>
                      <w:sz w:val="21"/>
                      <w:szCs w:val="21"/>
                    </w:rPr>
                  </w:pPr>
                  <w:r>
                    <w:rPr>
                      <w:b w:val="0"/>
                      <w:color w:val="auto"/>
                      <w:sz w:val="21"/>
                      <w:szCs w:val="21"/>
                    </w:rPr>
                    <w:t>有毒有害和易燃易爆危险物质存储量超过临界量</w:t>
                  </w:r>
                  <w:r>
                    <w:rPr>
                      <w:b w:val="0"/>
                      <w:color w:val="auto"/>
                      <w:sz w:val="21"/>
                      <w:szCs w:val="21"/>
                      <w:vertAlign w:val="superscript"/>
                    </w:rPr>
                    <w:t>3</w:t>
                  </w:r>
                  <w:r>
                    <w:rPr>
                      <w:b w:val="0"/>
                      <w:color w:val="auto"/>
                      <w:sz w:val="21"/>
                      <w:szCs w:val="21"/>
                    </w:rPr>
                    <w:t>的建设项目</w:t>
                  </w:r>
                </w:p>
              </w:tc>
              <w:tc>
                <w:tcPr>
                  <w:tcW w:w="2951" w:type="dxa"/>
                  <w:vAlign w:val="center"/>
                </w:tcPr>
                <w:p>
                  <w:pPr>
                    <w:pStyle w:val="146"/>
                    <w:rPr>
                      <w:b w:val="0"/>
                      <w:color w:val="auto"/>
                      <w:sz w:val="21"/>
                      <w:szCs w:val="21"/>
                    </w:rPr>
                  </w:pPr>
                  <w:r>
                    <w:rPr>
                      <w:b w:val="0"/>
                      <w:color w:val="auto"/>
                      <w:sz w:val="21"/>
                      <w:szCs w:val="21"/>
                    </w:rPr>
                    <w:t>本项目涉及主要环境风险物质为导热油、柴油以及废润滑油等，经对照，以上环境风险物质最大存储量总计未超过临界量，故不开展环境风险专项评价。</w:t>
                  </w:r>
                </w:p>
              </w:tc>
              <w:tc>
                <w:tcPr>
                  <w:tcW w:w="662" w:type="dxa"/>
                  <w:vAlign w:val="center"/>
                </w:tcPr>
                <w:p>
                  <w:pPr>
                    <w:pStyle w:val="146"/>
                    <w:rPr>
                      <w:b w:val="0"/>
                      <w:color w:val="auto"/>
                      <w:sz w:val="21"/>
                      <w:szCs w:val="21"/>
                    </w:rPr>
                  </w:pPr>
                  <w:r>
                    <w:rPr>
                      <w:b w:val="0"/>
                      <w:color w:val="auto"/>
                      <w:sz w:val="21"/>
                      <w:szCs w:val="21"/>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7" w:type="dxa"/>
                  <w:vAlign w:val="center"/>
                </w:tcPr>
                <w:p>
                  <w:pPr>
                    <w:pStyle w:val="146"/>
                    <w:rPr>
                      <w:b w:val="0"/>
                      <w:color w:val="auto"/>
                      <w:sz w:val="21"/>
                      <w:szCs w:val="21"/>
                    </w:rPr>
                  </w:pPr>
                  <w:r>
                    <w:rPr>
                      <w:b w:val="0"/>
                      <w:color w:val="auto"/>
                      <w:sz w:val="21"/>
                      <w:szCs w:val="21"/>
                    </w:rPr>
                    <w:t>4</w:t>
                  </w:r>
                </w:p>
              </w:tc>
              <w:tc>
                <w:tcPr>
                  <w:tcW w:w="1134" w:type="dxa"/>
                  <w:vAlign w:val="center"/>
                </w:tcPr>
                <w:p>
                  <w:pPr>
                    <w:pStyle w:val="146"/>
                    <w:rPr>
                      <w:b w:val="0"/>
                      <w:color w:val="auto"/>
                      <w:sz w:val="21"/>
                      <w:szCs w:val="21"/>
                    </w:rPr>
                  </w:pPr>
                  <w:r>
                    <w:rPr>
                      <w:b w:val="0"/>
                      <w:color w:val="auto"/>
                      <w:sz w:val="21"/>
                      <w:szCs w:val="21"/>
                    </w:rPr>
                    <w:t>生态</w:t>
                  </w:r>
                </w:p>
              </w:tc>
              <w:tc>
                <w:tcPr>
                  <w:tcW w:w="2503" w:type="dxa"/>
                  <w:vAlign w:val="center"/>
                </w:tcPr>
                <w:p>
                  <w:pPr>
                    <w:pStyle w:val="146"/>
                    <w:rPr>
                      <w:b w:val="0"/>
                      <w:color w:val="auto"/>
                      <w:sz w:val="21"/>
                      <w:szCs w:val="21"/>
                    </w:rPr>
                  </w:pPr>
                  <w:r>
                    <w:rPr>
                      <w:b w:val="0"/>
                      <w:color w:val="auto"/>
                      <w:sz w:val="21"/>
                      <w:szCs w:val="21"/>
                    </w:rPr>
                    <w:t>取水口下游500m范围内有重要水生生物的自然产卵场、索饵场、越冬场和回游通道的新增河道取水的污染类建设项目</w:t>
                  </w:r>
                </w:p>
              </w:tc>
              <w:tc>
                <w:tcPr>
                  <w:tcW w:w="2951" w:type="dxa"/>
                  <w:vAlign w:val="center"/>
                </w:tcPr>
                <w:p>
                  <w:pPr>
                    <w:pStyle w:val="146"/>
                    <w:rPr>
                      <w:b w:val="0"/>
                      <w:color w:val="auto"/>
                      <w:sz w:val="21"/>
                      <w:szCs w:val="21"/>
                    </w:rPr>
                  </w:pPr>
                  <w:r>
                    <w:rPr>
                      <w:b w:val="0"/>
                      <w:color w:val="auto"/>
                      <w:sz w:val="21"/>
                      <w:szCs w:val="21"/>
                    </w:rPr>
                    <w:t>本项目用水由自来水管网供给，不涉及河道取水，故不开展生态专项评价。</w:t>
                  </w:r>
                </w:p>
              </w:tc>
              <w:tc>
                <w:tcPr>
                  <w:tcW w:w="662" w:type="dxa"/>
                  <w:vAlign w:val="center"/>
                </w:tcPr>
                <w:p>
                  <w:pPr>
                    <w:pStyle w:val="146"/>
                    <w:rPr>
                      <w:b w:val="0"/>
                      <w:color w:val="auto"/>
                      <w:sz w:val="21"/>
                      <w:szCs w:val="21"/>
                    </w:rPr>
                  </w:pPr>
                  <w:r>
                    <w:rPr>
                      <w:b w:val="0"/>
                      <w:color w:val="auto"/>
                      <w:sz w:val="21"/>
                      <w:szCs w:val="21"/>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7" w:type="dxa"/>
                  <w:vAlign w:val="center"/>
                </w:tcPr>
                <w:p>
                  <w:pPr>
                    <w:pStyle w:val="146"/>
                    <w:rPr>
                      <w:b w:val="0"/>
                      <w:color w:val="auto"/>
                      <w:sz w:val="21"/>
                      <w:szCs w:val="21"/>
                    </w:rPr>
                  </w:pPr>
                  <w:r>
                    <w:rPr>
                      <w:b w:val="0"/>
                      <w:color w:val="auto"/>
                      <w:sz w:val="21"/>
                      <w:szCs w:val="21"/>
                    </w:rPr>
                    <w:t>5</w:t>
                  </w:r>
                </w:p>
              </w:tc>
              <w:tc>
                <w:tcPr>
                  <w:tcW w:w="1134" w:type="dxa"/>
                  <w:vAlign w:val="center"/>
                </w:tcPr>
                <w:p>
                  <w:pPr>
                    <w:pStyle w:val="146"/>
                    <w:rPr>
                      <w:b w:val="0"/>
                      <w:color w:val="auto"/>
                      <w:sz w:val="21"/>
                      <w:szCs w:val="21"/>
                    </w:rPr>
                  </w:pPr>
                  <w:r>
                    <w:rPr>
                      <w:b w:val="0"/>
                      <w:color w:val="auto"/>
                      <w:sz w:val="21"/>
                      <w:szCs w:val="21"/>
                    </w:rPr>
                    <w:t>海洋</w:t>
                  </w:r>
                </w:p>
              </w:tc>
              <w:tc>
                <w:tcPr>
                  <w:tcW w:w="2503" w:type="dxa"/>
                  <w:vAlign w:val="center"/>
                </w:tcPr>
                <w:p>
                  <w:pPr>
                    <w:pStyle w:val="146"/>
                    <w:rPr>
                      <w:b w:val="0"/>
                      <w:color w:val="auto"/>
                      <w:sz w:val="21"/>
                      <w:szCs w:val="21"/>
                    </w:rPr>
                  </w:pPr>
                  <w:r>
                    <w:rPr>
                      <w:b w:val="0"/>
                      <w:color w:val="auto"/>
                      <w:sz w:val="21"/>
                      <w:szCs w:val="21"/>
                    </w:rPr>
                    <w:t>直接向海排放污染物的海洋工程建设项目</w:t>
                  </w:r>
                </w:p>
              </w:tc>
              <w:tc>
                <w:tcPr>
                  <w:tcW w:w="2951" w:type="dxa"/>
                  <w:vAlign w:val="center"/>
                </w:tcPr>
                <w:p>
                  <w:pPr>
                    <w:pStyle w:val="146"/>
                    <w:rPr>
                      <w:b w:val="0"/>
                      <w:color w:val="auto"/>
                      <w:sz w:val="21"/>
                      <w:szCs w:val="21"/>
                    </w:rPr>
                  </w:pPr>
                  <w:r>
                    <w:rPr>
                      <w:b w:val="0"/>
                      <w:color w:val="auto"/>
                      <w:sz w:val="21"/>
                      <w:szCs w:val="21"/>
                    </w:rPr>
                    <w:t>本项目不属于海洋工程，不涉及向海排放污染物，故不开展海洋专项评价。</w:t>
                  </w:r>
                </w:p>
              </w:tc>
              <w:tc>
                <w:tcPr>
                  <w:tcW w:w="662" w:type="dxa"/>
                  <w:vAlign w:val="center"/>
                </w:tcPr>
                <w:p>
                  <w:pPr>
                    <w:pStyle w:val="146"/>
                    <w:rPr>
                      <w:b w:val="0"/>
                      <w:color w:val="auto"/>
                      <w:sz w:val="21"/>
                      <w:szCs w:val="21"/>
                    </w:rPr>
                  </w:pPr>
                  <w:r>
                    <w:rPr>
                      <w:b w:val="0"/>
                      <w:color w:val="auto"/>
                      <w:sz w:val="21"/>
                      <w:szCs w:val="21"/>
                    </w:rPr>
                    <w:t>不设置</w:t>
                  </w:r>
                </w:p>
              </w:tc>
            </w:tr>
          </w:tbl>
          <w:p>
            <w:pPr>
              <w:pStyle w:val="147"/>
            </w:pPr>
            <w:r>
              <w:t>注：1.废气中有毒有害污染物指标纳入《有毒有害大气污染物名录》的污染物（不包括无排放标准的污染物）。</w:t>
            </w:r>
          </w:p>
          <w:p>
            <w:pPr>
              <w:pStyle w:val="147"/>
            </w:pPr>
            <w:r>
              <w:t>2.环境空气保护目标指自然保护区、风景名胜区、居住区、文化区和农村地区中人群较集中的区域。</w:t>
            </w:r>
          </w:p>
          <w:p>
            <w:pPr>
              <w:pStyle w:val="147"/>
              <w:rPr>
                <w:kern w:val="0"/>
              </w:rPr>
            </w:pPr>
            <w:r>
              <w:t>3.临界量及其计算方法可参考《建设项目环境风险评价技术导则》（HJ169）附录B、附录C。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gridSpan w:val="2"/>
            <w:vAlign w:val="center"/>
          </w:tcPr>
          <w:p>
            <w:pPr>
              <w:autoSpaceDE w:val="0"/>
              <w:autoSpaceDN w:val="0"/>
              <w:adjustRightInd w:val="0"/>
              <w:snapToGrid w:val="0"/>
              <w:jc w:val="center"/>
              <w:rPr>
                <w:kern w:val="0"/>
                <w:sz w:val="24"/>
              </w:rPr>
            </w:pPr>
            <w:r>
              <w:rPr>
                <w:sz w:val="24"/>
              </w:rPr>
              <w:t>规划情况</w:t>
            </w:r>
          </w:p>
        </w:tc>
        <w:tc>
          <w:tcPr>
            <w:tcW w:w="8153" w:type="dxa"/>
            <w:gridSpan w:val="3"/>
            <w:vAlign w:val="center"/>
          </w:tcPr>
          <w:p>
            <w:pPr>
              <w:pStyle w:val="122"/>
              <w:ind w:firstLine="482"/>
              <w:jc w:val="center"/>
            </w:pPr>
            <w:r>
              <w:rPr>
                <w:rStyle w:val="71"/>
                <w:b/>
                <w:sz w:val="24"/>
                <w:lang w:val="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17" w:type="dxa"/>
            <w:gridSpan w:val="2"/>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8153" w:type="dxa"/>
            <w:gridSpan w:val="3"/>
            <w:vAlign w:val="center"/>
          </w:tcPr>
          <w:p>
            <w:pPr>
              <w:pStyle w:val="122"/>
              <w:ind w:firstLine="482"/>
              <w:jc w:val="center"/>
            </w:pPr>
            <w:r>
              <w:rPr>
                <w:b/>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17" w:type="dxa"/>
            <w:gridSpan w:val="2"/>
            <w:vAlign w:val="center"/>
          </w:tcPr>
          <w:p>
            <w:pPr>
              <w:autoSpaceDE w:val="0"/>
              <w:autoSpaceDN w:val="0"/>
              <w:adjustRightInd w:val="0"/>
              <w:snapToGrid w:val="0"/>
              <w:jc w:val="center"/>
              <w:rPr>
                <w:kern w:val="0"/>
                <w:sz w:val="24"/>
              </w:rPr>
            </w:pPr>
            <w:r>
              <w:rPr>
                <w:kern w:val="0"/>
                <w:sz w:val="24"/>
              </w:rPr>
              <w:t>规划及规划环境影响评价符合性分析</w:t>
            </w:r>
          </w:p>
        </w:tc>
        <w:tc>
          <w:tcPr>
            <w:tcW w:w="8153" w:type="dxa"/>
            <w:gridSpan w:val="3"/>
            <w:vAlign w:val="center"/>
          </w:tcPr>
          <w:p>
            <w:pPr>
              <w:pStyle w:val="122"/>
              <w:ind w:firstLine="482"/>
              <w:jc w:val="center"/>
            </w:pPr>
            <w:r>
              <w:rPr>
                <w:b/>
                <w:lang w:val="en-US"/>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17" w:type="dxa"/>
            <w:gridSpan w:val="2"/>
            <w:vAlign w:val="center"/>
          </w:tcPr>
          <w:p>
            <w:pPr>
              <w:autoSpaceDE w:val="0"/>
              <w:autoSpaceDN w:val="0"/>
              <w:adjustRightInd w:val="0"/>
              <w:snapToGrid w:val="0"/>
              <w:jc w:val="center"/>
              <w:rPr>
                <w:kern w:val="0"/>
                <w:sz w:val="24"/>
              </w:rPr>
            </w:pPr>
            <w:r>
              <w:rPr>
                <w:kern w:val="0"/>
                <w:sz w:val="24"/>
              </w:rPr>
              <w:t>其他符合性分析</w:t>
            </w:r>
          </w:p>
        </w:tc>
        <w:tc>
          <w:tcPr>
            <w:tcW w:w="8153" w:type="dxa"/>
            <w:gridSpan w:val="3"/>
            <w:vAlign w:val="center"/>
          </w:tcPr>
          <w:p>
            <w:pPr>
              <w:pStyle w:val="108"/>
              <w:rPr>
                <w:color w:val="auto"/>
                <w:sz w:val="24"/>
              </w:rPr>
            </w:pPr>
            <w:r>
              <w:rPr>
                <w:color w:val="auto"/>
                <w:sz w:val="24"/>
              </w:rPr>
              <w:t>1、产业政策符合性分析</w:t>
            </w:r>
          </w:p>
          <w:p>
            <w:pPr>
              <w:pStyle w:val="147"/>
            </w:pPr>
            <w:r>
              <w:t>根据国家发展和改革委员会颁布的《产业结构调整指导目录（2024年本）》（2023年12月1日经国家发展改革委第6次委务会通过 2023年12月27日国家发展改革委令第7号公布 自2024年2月1日起施行），本项目属于第一类 鼓励类中第十二建材中“3.适用于装配式建筑、折叠式建筑、海绵城市、地下管廊生态修复的部品化建材产品及生产设备: 低成本相变储能墙体材料及墙体部件:光伏建筑一体化部品部件: 全电熔法制备岩（矿）棉;B1 级柔性泡沫橡塑绝热制品:气凝胶材料：A 级阻燃保温材料制品复合真空绝热保温材料，聚醋纤维类吸音板材，保温、装饰等功能一体化复合板材: 长寿命防水防腐阻燃复合材料: 高性能、高耐久、高可靠性改性沥青防水卷材、高分子防水卷材、水性或高固含量防水涂料等新型建筑防水材料; 蒸压加气混凝土板、秸秆生物质墙板（砖）、生物质建材: 功能型、集成化装饰装修材料及制品，超薄陶瓷板、绿色无醛人造板，路面砖（板）、透水砖 （板）、装饰砖（块）、仿古砖瓦、水工及护坡生态砖 （砌块） 等产品及绿色低碳建材产品技术开发与生产应用”，为鼓励类项目；本项目所选用机械设备未列入《部分工业行业淘汰落后生产工艺装备和产品指导目录（2010年本）》（工产业2010）第122号）中，无淘汰、落后设备。</w:t>
            </w:r>
          </w:p>
          <w:p>
            <w:pPr>
              <w:pStyle w:val="147"/>
            </w:pPr>
            <w:r>
              <w:t>项目</w:t>
            </w:r>
            <w:r>
              <w:rPr>
                <w:lang w:val="en-US"/>
              </w:rPr>
              <w:t>已</w:t>
            </w:r>
            <w:r>
              <w:t>于2023年12月13日取得云龙县发展和改革局下发的《云南省固定资产投资项目备案证》（项目代码：2312-532929-04-05-894185）综上所述，本项目建设符合国家及地方产业政策。</w:t>
            </w:r>
          </w:p>
          <w:p>
            <w:pPr>
              <w:pStyle w:val="108"/>
              <w:rPr>
                <w:color w:val="auto"/>
                <w:sz w:val="24"/>
              </w:rPr>
            </w:pPr>
            <w:r>
              <w:rPr>
                <w:color w:val="auto"/>
                <w:sz w:val="24"/>
              </w:rPr>
              <w:t>2、与</w:t>
            </w:r>
            <w:bookmarkStart w:id="3" w:name="_Toc14631_WPSOffice_Level2"/>
            <w:bookmarkStart w:id="4" w:name="_Toc11005"/>
            <w:bookmarkStart w:id="5" w:name="_Toc1839"/>
            <w:r>
              <w:rPr>
                <w:color w:val="auto"/>
                <w:sz w:val="24"/>
              </w:rPr>
              <w:t>大理白族自治州“三线一单”符合性分析</w:t>
            </w:r>
          </w:p>
          <w:p>
            <w:pPr>
              <w:pStyle w:val="147"/>
              <w:rPr>
                <w:shd w:val="clear" w:color="auto" w:fill="FFFFFF" w:themeFill="background1"/>
              </w:rPr>
            </w:pPr>
            <w:r>
              <w:rPr>
                <w:shd w:val="clear" w:color="auto" w:fill="FFFFFF" w:themeFill="background1"/>
              </w:rPr>
              <w:t>2021年10月22日，大理白族自治州人民政府为贯彻落实《中共中央国务院关于全面加强生态环境保护坚决打好污染防治攻坚战的意见》（中发〔2018〕17号）、《云南省人民政府关于实施“三线一单”生态环境分区管控的意见》（云政发〔2020〕29号），落实生态保护红线、环境质量底线、资源利用上线和生态环境准入清单，实施生态环境分区管控，推动生态环境质量改善，促进高质量发展，结合大理州实际，制定本实施方案。本项目与《大理州“三线一单”生态环境分区管控实施方案》（以下简称“实施方案”） 的符合性分析如下：</w:t>
            </w:r>
          </w:p>
          <w:p>
            <w:pPr>
              <w:pStyle w:val="111"/>
            </w:pPr>
            <w:r>
              <w:t>1、与生态保护红线和一般生态空间的符合性分析</w:t>
            </w:r>
          </w:p>
          <w:p>
            <w:pPr>
              <w:pStyle w:val="147"/>
              <w:rPr>
                <w:shd w:val="clear" w:color="auto" w:fill="FFFFFF" w:themeFill="background1"/>
              </w:rPr>
            </w:pPr>
            <w:r>
              <w:rPr>
                <w:shd w:val="clear" w:color="auto" w:fill="FFFFFF" w:themeFill="background1"/>
              </w:rPr>
              <w:t>实施方案要求：生态保护红线和一般生态空间执行《云南省人民政府关于发布云南省生态保护红线的通知》（云政发[2018]32 号），生态保护红线评估调整成果获批后，按照批准成果执行。</w:t>
            </w:r>
          </w:p>
          <w:p>
            <w:pPr>
              <w:pStyle w:val="147"/>
            </w:pPr>
            <w:r>
              <w:t>本项目</w:t>
            </w:r>
            <w:r>
              <w:rPr>
                <w:rStyle w:val="115"/>
                <w:b w:val="0"/>
                <w:bCs w:val="0"/>
              </w:rPr>
              <w:t>位于</w:t>
            </w:r>
            <w:r>
              <w:t>大理白族自治州云龙县团结乡河南箐口，</w:t>
            </w:r>
            <w:r>
              <w:rPr>
                <w:szCs w:val="21"/>
              </w:rPr>
              <w:t>项目已于2016年5月建设完成并投入运营，本次评价为补办环保手续，项目用地为工业用地</w:t>
            </w:r>
            <w:r>
              <w:t>，根据云龙县自然资源局出具的生态红线查询结果，本项目不涉及生态保护红线。同时，项目不在云南省未划入生态保护红线的自然保护区、饮用水水源保护区、重要湿地、基本草原、生态公益林、天然林等生态功能重要、生态环境敏感区域的一般生态空间内，因此，项目建设符合大理白族自治州生态保护红线和一般生态空间的管控要求。</w:t>
            </w:r>
          </w:p>
          <w:p>
            <w:pPr>
              <w:pStyle w:val="111"/>
            </w:pPr>
            <w:r>
              <w:t>2、与资源利用上线的符合性分析</w:t>
            </w:r>
          </w:p>
          <w:p>
            <w:pPr>
              <w:pStyle w:val="147"/>
            </w:pPr>
            <w:r>
              <w:t>实施方案要求：强化资源能源节约集约利用，持续提升资源能源利用效率，水资源、土地资源、能源消耗等达到或优于云南省下达的总量和强度控制目标。</w:t>
            </w:r>
          </w:p>
          <w:p>
            <w:pPr>
              <w:pStyle w:val="147"/>
            </w:pPr>
            <w:r>
              <w:t>项目已于2016年5月建设完成并投入运营，本次评价为补办环保手续，为工业用地，无新增用地。项目用水由周边山箐水供给，用电由团结乡供电电网接入。运行期以电能和柴油燃烧供给项目所需热能。本项目每年生产时长为30天，生产周期短，资源消耗量相对区域资源利用总量较少。因此，本项目不会超出资源利用上线，项目建设符合资源利用上线的要。</w:t>
            </w:r>
          </w:p>
          <w:p>
            <w:pPr>
              <w:pStyle w:val="111"/>
            </w:pPr>
            <w:r>
              <w:t>3、与环境质量底线的符合性分析</w:t>
            </w:r>
          </w:p>
          <w:p>
            <w:pPr>
              <w:pStyle w:val="147"/>
            </w:pPr>
            <w:r>
              <w:t>环境质量底线要求大气环境质量、水环境质量、土环境质量等均符合国家标准，确保人民群众的安全健康。污染物排放总量控制红线要求全面完成减排任务，有效控制和消减污染物排放总量。</w:t>
            </w:r>
          </w:p>
          <w:p>
            <w:pPr>
              <w:pStyle w:val="164"/>
            </w:pPr>
            <w:r>
              <w:t>（1）水环境质量底线</w:t>
            </w:r>
          </w:p>
          <w:p>
            <w:pPr>
              <w:pStyle w:val="147"/>
            </w:pPr>
            <w:r>
              <w:t>实施方案要求：到2025年，全州水环境质量明显改善，纳入考核的地表水I类以上水体比例持续提高，洱海总体保持良好湖泊水质。到2035年，全州地表水体水质优良率全面提升，纳入考核监测断面水质达到水环境功能要求，洱海水质稳定向好:持续提升饮用水安全保障水平，重点区域重点流域水质改善，水生生态系统功能逐步恢复，实现生态系统良性循环。到2025年全州水环境质量明显改善，纳入考核的地表水III类以上水体比例持续提高。</w:t>
            </w:r>
          </w:p>
          <w:p>
            <w:pPr>
              <w:pStyle w:val="147"/>
            </w:pPr>
            <w:r>
              <w:t>根据勘察，项目区附近地表水体为项目区东侧约3m处的顺濞河（关坪河），最终汇入澜沧江流域的黑惠江。根据《云南省水功能区划（2014年修订）》，项目地段属于“顺濞河云龙-漾濞保留区”：由云龙县顺濞河源头至漾濞县入黑惠江口，全长129.2km，现状水质为Ⅱ类，规划水平年水质目标为Ⅱ类，执行《地表水环境质量标准》（GB3096-2002）Ⅱ类标准，项目区域地表水代表断面顺濞河顺濞桥断面。根据《大理白族自治州2022年环境状况公报》，该断面水质可达到《地表水环境质量标准 （GB3838-2002）中Ⅱ类标准，故项目区地表水环境质量现状能满足水环境功能区划要求。</w:t>
            </w:r>
          </w:p>
          <w:p>
            <w:pPr>
              <w:pStyle w:val="147"/>
            </w:pPr>
            <w:r>
              <w:t>项目运行期生活污水依托</w:t>
            </w:r>
            <w:r>
              <w:rPr>
                <w:rStyle w:val="140"/>
              </w:rPr>
              <w:t>云龙公路分局河南石料场公路养护配套改扩建项目现有旱厕</w:t>
            </w:r>
            <w:r>
              <w:t>处理后，委托附近村民定期清掏施肥；生产废水（循环冷却水）采用废水储存罐收集后及时运送到沥青路面摊铺现场作为乳化沥青配浆用水使用。总体来看，项目运营期废水不向外环境直接排放，不会直接增加区域地表水体污染负荷，满足实施方案中水环境质量底线相关要求。</w:t>
            </w:r>
          </w:p>
          <w:p>
            <w:pPr>
              <w:pStyle w:val="147"/>
            </w:pPr>
            <w:r>
              <w:t>（2）大气环境质量底线</w:t>
            </w:r>
          </w:p>
          <w:p>
            <w:pPr>
              <w:pStyle w:val="147"/>
            </w:pPr>
            <w:r>
              <w:t>实施方案要求：到2025年全州城市环境空气质量稳定，完成省下达的大气污染物总量控制指标。到2035年全州城市环境空气质量优中更优，完成省下达的大气污染物总量控制指标。</w:t>
            </w:r>
          </w:p>
          <w:p>
            <w:pPr>
              <w:pStyle w:val="147"/>
            </w:pPr>
            <w:r>
              <w:t>根据《大理白族自治州2022年环境状况公报》和环境现状监测结果显示，项目所在区域环境空气满足《环境空气质量标准》（GB30952012）中的二级标准；项目施工期及运行期采取环评提出的各项大气污染防治措施后，均可做到达标排放，对区域环境空气质量底线不会造成冲击。</w:t>
            </w:r>
          </w:p>
          <w:p>
            <w:pPr>
              <w:pStyle w:val="147"/>
            </w:pPr>
            <w:r>
              <w:t>（3）土壤环境风险防控底线</w:t>
            </w:r>
          </w:p>
          <w:p>
            <w:pPr>
              <w:pStyle w:val="147"/>
            </w:pPr>
            <w:r>
              <w:t>实施方案要求:到2025年，土壤环境风险防范体系进一步完善，受污染耕地安全利用率和污染地块安全利用率进一步提高。到2035年，土壤环境质量稳中向好，农用地和建设用地土壤环境安全得到有效保障，土壤环境风险得到全面管控。</w:t>
            </w:r>
          </w:p>
          <w:p>
            <w:pPr>
              <w:pStyle w:val="147"/>
            </w:pPr>
            <w:r>
              <w:t>根据项目原辅材料及产品分析，主要土壤环境风险物资为矿物油（包括柴油、导热油、废润滑油），环评提出：柴油储罐区设置围堰、危险废物暂存间设置防渗托盘和围堰，并采取相应的防渗措施后可有效降低土壤环境风险，土壤污染途径可被切断，不会对土壤环境风险防控底线造成冲击。</w:t>
            </w:r>
          </w:p>
          <w:p>
            <w:pPr>
              <w:pStyle w:val="111"/>
            </w:pPr>
            <w:r>
              <w:t>4、生态环境管控单元</w:t>
            </w:r>
          </w:p>
          <w:p>
            <w:pPr>
              <w:pStyle w:val="147"/>
            </w:pPr>
            <w:r>
              <w:t>根据《大理州“三线一单”生态环境分区管控实施方案》：全州共划定综合管控单元105个，其中优先保护单元34个，重点管控单元59个，一般管控单元12个。</w:t>
            </w:r>
          </w:p>
          <w:p>
            <w:pPr>
              <w:pStyle w:val="147"/>
            </w:pPr>
            <w:r>
              <w:t>优先保护单元共34个，包含生态保护红线、一般生态空间。主要分布在洱海流域湖区、苍山、无量山、雪邦山、马耳山、剑湖、天池等生态功能重要和生态环境敏感区域。</w:t>
            </w:r>
          </w:p>
          <w:p>
            <w:pPr>
              <w:pStyle w:val="147"/>
            </w:pPr>
            <w:r>
              <w:t>重点管控单元共59个，包含开发强度高、污染物排放强度大、环境问题相对集中的区域和大气环境布局敏感区等，主要分布在洱海流域坝区、各类开发区和工业集中区、城镇规划区及环境质量改善压力较大的区域。</w:t>
            </w:r>
          </w:p>
          <w:p>
            <w:pPr>
              <w:pStyle w:val="147"/>
            </w:pPr>
            <w:r>
              <w:t>一般管控单元共12个，为优先保护、重点管控单元之外的区域。</w:t>
            </w:r>
          </w:p>
          <w:p>
            <w:pPr>
              <w:pStyle w:val="147"/>
            </w:pPr>
            <w:r>
              <w:t>本项目位于大理白族自治州云龙县团结乡河南箐口，根据云南省生态环境空间管控平台查询结果（附件11），本项目属于一般管控单元，其与实施方案符合性分析，详见下表：</w:t>
            </w:r>
          </w:p>
          <w:p>
            <w:pPr>
              <w:pStyle w:val="151"/>
              <w:rPr>
                <w:color w:val="auto"/>
              </w:rPr>
            </w:pPr>
            <w:bookmarkStart w:id="6" w:name="_Toc2480"/>
            <w:r>
              <w:rPr>
                <w:color w:val="auto"/>
              </w:rPr>
              <w:t>表1-2   项目与大理州生态环境管控总体要求符合性</w:t>
            </w:r>
            <w:bookmarkEnd w:id="6"/>
            <w:r>
              <w:rPr>
                <w:color w:val="auto"/>
              </w:rPr>
              <w:t>一览表</w:t>
            </w:r>
          </w:p>
          <w:tbl>
            <w:tblPr>
              <w:tblStyle w:val="28"/>
              <w:tblW w:w="791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65"/>
              <w:gridCol w:w="3394"/>
              <w:gridCol w:w="3293"/>
              <w:gridCol w:w="6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blHeader/>
                <w:jc w:val="center"/>
              </w:trPr>
              <w:tc>
                <w:tcPr>
                  <w:tcW w:w="565"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288" w:lineRule="auto"/>
                    <w:jc w:val="center"/>
                    <w:rPr>
                      <w:kern w:val="0"/>
                      <w:szCs w:val="21"/>
                    </w:rPr>
                  </w:pPr>
                  <w:r>
                    <w:rPr>
                      <w:kern w:val="0"/>
                      <w:szCs w:val="21"/>
                    </w:rPr>
                    <w:t>管控领域</w:t>
                  </w:r>
                </w:p>
              </w:tc>
              <w:tc>
                <w:tcPr>
                  <w:tcW w:w="3394" w:type="dxa"/>
                  <w:tcBorders>
                    <w:top w:val="single" w:color="auto" w:sz="8"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kern w:val="0"/>
                      <w:szCs w:val="21"/>
                    </w:rPr>
                  </w:pPr>
                  <w:r>
                    <w:rPr>
                      <w:kern w:val="0"/>
                      <w:szCs w:val="21"/>
                    </w:rPr>
                    <w:t>管控要求</w:t>
                  </w:r>
                </w:p>
              </w:tc>
              <w:tc>
                <w:tcPr>
                  <w:tcW w:w="3293" w:type="dxa"/>
                  <w:tcBorders>
                    <w:top w:val="single" w:color="auto" w:sz="8"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kern w:val="0"/>
                      <w:szCs w:val="21"/>
                    </w:rPr>
                  </w:pPr>
                  <w:r>
                    <w:rPr>
                      <w:kern w:val="0"/>
                      <w:szCs w:val="21"/>
                    </w:rPr>
                    <w:t>项目情况</w:t>
                  </w:r>
                </w:p>
              </w:tc>
              <w:tc>
                <w:tcPr>
                  <w:tcW w:w="665" w:type="dxa"/>
                  <w:tcBorders>
                    <w:top w:val="single" w:color="auto" w:sz="8"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kern w:val="0"/>
                      <w:szCs w:val="21"/>
                    </w:rPr>
                  </w:pPr>
                  <w:r>
                    <w:rPr>
                      <w:kern w:val="0"/>
                      <w:szCs w:val="21"/>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restart"/>
                  <w:tcBorders>
                    <w:top w:val="single" w:color="auto" w:sz="4" w:space="0"/>
                    <w:left w:val="single" w:color="auto" w:sz="8" w:space="0"/>
                    <w:right w:val="single" w:color="auto" w:sz="4" w:space="0"/>
                  </w:tcBorders>
                  <w:vAlign w:val="center"/>
                </w:tcPr>
                <w:p>
                  <w:pPr>
                    <w:adjustRightInd w:val="0"/>
                    <w:snapToGrid w:val="0"/>
                    <w:spacing w:line="288" w:lineRule="auto"/>
                    <w:jc w:val="center"/>
                    <w:rPr>
                      <w:kern w:val="0"/>
                      <w:szCs w:val="21"/>
                    </w:rPr>
                  </w:pPr>
                  <w:r>
                    <w:rPr>
                      <w:kern w:val="0"/>
                      <w:szCs w:val="21"/>
                    </w:rPr>
                    <w:t>空间布局约束</w:t>
                  </w:r>
                </w:p>
              </w:tc>
              <w:tc>
                <w:tcPr>
                  <w:tcW w:w="3394"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1.生态保护红线内，自然保护地核心保护区原则上禁止人为活动，其他区域严格禁止开发性、生产性建设活动，法律法规另有规定的，从其规定。</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本项目位于大理白族自治州云龙县团结乡河南箐口，根据云龙县自然资源局出具的生态红线查询结果项目不在划定的云南省生态保护红线范围内，属于一般生态空间。</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2.生态保护红线相关管控办法出台后，依据其管理规定执行。</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待生态保护红线相关管控办法出台后依据其管理规定执行。</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3.新建旅游景区禁止破坏生态环境，限制在生态脆弱地区布局。根据景区承载能力进行功能分区管理，确定游客容量上限。</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本项目位于大理白族自治州云龙县团结乡河南箐口，不涉及旅游景区。</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4.抓住“双核驱动、协同发展”机遇，按照“一城三区”的总体布局，加快大祥巍一体化发展，着力推动与洱源县生态保护一体化发展，与祥云县、宾川县、漾濞县产业开发合作和园区合作。</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本项目不涉及。</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bottom w:val="single" w:color="auto" w:sz="4"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5.全面加强洱海流域空间管控，严控洱海流域建设活动。在洱海流域范围内禁止布局高污染、高排放的矿冶建材、重化工等产业，加快流域内砖瓦（新型建材除外）等建材产业的搬迁及非煤矿山生态修复，流域内不再布局水泥、砖瓦（新型建材除外）等生产企业，全面关停洱海流域</w:t>
                  </w:r>
                  <w:r>
                    <w:rPr>
                      <w:szCs w:val="21"/>
                    </w:rPr>
                    <w:cr/>
                  </w:r>
                  <w:r>
                    <w:rPr>
                      <w:szCs w:val="21"/>
                    </w:rPr>
                    <w:t>地热、矿泉水之外的所有矿山。</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位于大理白族自治州云龙县团结乡河南箐口，不在洱海流域范围内。</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restart"/>
                  <w:tcBorders>
                    <w:top w:val="single" w:color="auto" w:sz="4" w:space="0"/>
                    <w:left w:val="single" w:color="auto" w:sz="8" w:space="0"/>
                    <w:right w:val="single" w:color="auto" w:sz="4" w:space="0"/>
                  </w:tcBorders>
                  <w:vAlign w:val="center"/>
                </w:tcPr>
                <w:p>
                  <w:pPr>
                    <w:adjustRightInd w:val="0"/>
                    <w:snapToGrid w:val="0"/>
                    <w:spacing w:line="288" w:lineRule="auto"/>
                    <w:jc w:val="center"/>
                    <w:rPr>
                      <w:kern w:val="0"/>
                      <w:szCs w:val="21"/>
                    </w:rPr>
                  </w:pPr>
                  <w:r>
                    <w:rPr>
                      <w:kern w:val="0"/>
                      <w:szCs w:val="21"/>
                    </w:rPr>
                    <w:t>污染物排放管控</w:t>
                  </w: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1.加强重点流域水污染综合防治，西洱河、沘江等水污染严重地区，新建、改建、扩建重点行业建设项目实行主要水污染物排放减量置换。</w:t>
                  </w:r>
                </w:p>
              </w:tc>
              <w:tc>
                <w:tcPr>
                  <w:tcW w:w="329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本项目不属于重点流域范围，不属于西洱河、沘江等水污染严重地区；项目采用雨污分流制，项目运行期生活污水依托云龙公路分局河南石料场公路养护配套改扩建项目现有旱厕处理后，委托附近村民定期清掏施肥；生产废水（循环冷却水）采用废水储存罐收集后及时运送到沥青路面摊铺现场作为乳化沥青配浆用水使用，均不向外环境排放，不会影响周边地表水环境。</w:t>
                  </w:r>
                </w:p>
              </w:tc>
              <w:tc>
                <w:tcPr>
                  <w:tcW w:w="665"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2.推进工业园区、工矿企业污水处理设施全覆盖和利用效率最大化。严格保护城乡集中式饮用水水源地，整治饮用水源保护区内的污染源，确保饮用水安全。实现城镇生活污水、垃圾处理设施全覆盖和稳定运行。推进农村面源污染治理。</w:t>
                  </w:r>
                </w:p>
              </w:tc>
              <w:tc>
                <w:tcPr>
                  <w:tcW w:w="329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位于大理白族自治州云龙县团结乡河南箐口，不在城乡集中式饮用水源地范围内，项目采用雨污分流制，项目运行期生活污水依托云龙公路分局河南石料场公路养护配套改扩建项目现有旱厕处理后，委托附近村民定期清掏施肥；生产废水（循环冷却水）采用废水储存罐收集后及时运送到沥青路面摊铺现场作为乳化沥青配浆用水使用，均不向外环境排放，不会影响周边地表水环境。生活垃圾统一收集后运至团结乡垃圾收集点，由环卫部门进行处理。</w:t>
                  </w:r>
                </w:p>
              </w:tc>
              <w:tc>
                <w:tcPr>
                  <w:tcW w:w="665"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tabs>
                      <w:tab w:val="left" w:pos="312"/>
                    </w:tabs>
                    <w:adjustRightInd w:val="0"/>
                    <w:snapToGrid w:val="0"/>
                    <w:spacing w:line="288" w:lineRule="auto"/>
                    <w:rPr>
                      <w:szCs w:val="21"/>
                    </w:rPr>
                  </w:pPr>
                  <w:r>
                    <w:rPr>
                      <w:szCs w:val="21"/>
                    </w:rPr>
                    <w:t>3.扎实推动PM2.5和臭氧协同控制，持续推进氮氧化物减排和重点企业超低排放改造，加大VOCs减排力度，重点提升石化、化工及含挥发性有机化合物产品制造企业和喷漆、印刷、电子、服装干洗等行业清洁生产和污染治理力度，逐步淘汰挥发性有机化合物含量高的产品生产和使用，严控生产过程中逃逸性有机气体的排放。</w:t>
                  </w:r>
                </w:p>
              </w:tc>
              <w:tc>
                <w:tcPr>
                  <w:tcW w:w="329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本次评价提出本项目皮带给料器（料斗）进行三面封闭，并设置喷淋装置、皮带输送机加装防尘罩，采取上述措施后可有效控制扬尘产生。炒料工序废气经两级除尘系统（重力除尘和大气反吹式布袋除尘器结合）处理后经15m高排气筒DA001进行有组织排放。沥青烟气收集经“喷淋塔+活性炭吸附箱”处理后通过15高排气筒DA002进行有组织排放，有效减少废气无组织排放。</w:t>
                  </w:r>
                </w:p>
              </w:tc>
              <w:tc>
                <w:tcPr>
                  <w:tcW w:w="665"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4.严格执行钢铁、水泥等高耗能行业产能置换政策，把高效能和低碳排放纳入项目节能审查、环境影响评价等里面，明确重点行业二氧化碳排放达峰目标，控制工业、交通、建筑等行业温室气体排放。</w:t>
                  </w:r>
                </w:p>
              </w:tc>
              <w:tc>
                <w:tcPr>
                  <w:tcW w:w="329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本项目沥青拌合项目，不属于钢铁、水泥等高耗能行业。</w:t>
                  </w:r>
                </w:p>
              </w:tc>
              <w:tc>
                <w:tcPr>
                  <w:tcW w:w="665"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5.加强土壤污染防治，实行农用地分类管理，严格建设用地准入，动态更新土壤环境污染重点监管企业名单，落实重点监管企业土壤污染隐患排查，建立土壤污染风险管控和修复名录制度，实行污染地块再开发再利用联动监管。</w:t>
                  </w:r>
                </w:p>
              </w:tc>
              <w:tc>
                <w:tcPr>
                  <w:tcW w:w="329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t>柴油储罐区设置围堰、危险废物暂存间设置防渗托盘和围堰，并采取相应的防渗措施后可有效降低土壤环境风险，土壤污染途径可被切断，不会对土壤环境风险防控底线造成冲击。</w:t>
                  </w:r>
                </w:p>
              </w:tc>
              <w:tc>
                <w:tcPr>
                  <w:tcW w:w="665"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6.加强重金属污染防治，严格环境准入管理。</w:t>
                  </w:r>
                </w:p>
              </w:tc>
              <w:tc>
                <w:tcPr>
                  <w:tcW w:w="329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本项目不涉及重金属污染物的排放。</w:t>
                  </w:r>
                </w:p>
              </w:tc>
              <w:tc>
                <w:tcPr>
                  <w:tcW w:w="665"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bottom w:val="single" w:color="auto" w:sz="4"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7.加强固体废物污染防治，建立固体废物部门联动监管长效机制，提高固体废物规范化管理水平，遏制固体废物特别是危险废物非法转移、倾倒、处置。</w:t>
                  </w:r>
                </w:p>
              </w:tc>
              <w:tc>
                <w:tcPr>
                  <w:tcW w:w="329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运行期产生的固体废物分类按《一般工业固体废物贮存和填埋污染控制标准》（GB18599-2020）、《危险废物贮存污染控制标准》（GB18597-2023）相关规定要求进行处置，处置率可达100%，严格落实环评提出的各项污染防治措施和环境管理要求后，不会存在固体废物特别是危险废物非法转移、倾倒、处置等现象。</w:t>
                  </w:r>
                </w:p>
              </w:tc>
              <w:tc>
                <w:tcPr>
                  <w:tcW w:w="665"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restart"/>
                  <w:tcBorders>
                    <w:top w:val="single" w:color="auto" w:sz="4" w:space="0"/>
                    <w:left w:val="single" w:color="auto" w:sz="8" w:space="0"/>
                    <w:right w:val="single" w:color="auto" w:sz="4" w:space="0"/>
                  </w:tcBorders>
                  <w:vAlign w:val="center"/>
                </w:tcPr>
                <w:p>
                  <w:pPr>
                    <w:adjustRightInd w:val="0"/>
                    <w:snapToGrid w:val="0"/>
                    <w:spacing w:line="288" w:lineRule="auto"/>
                    <w:jc w:val="center"/>
                    <w:rPr>
                      <w:kern w:val="0"/>
                      <w:szCs w:val="21"/>
                    </w:rPr>
                  </w:pPr>
                  <w:r>
                    <w:rPr>
                      <w:kern w:val="0"/>
                      <w:szCs w:val="21"/>
                    </w:rPr>
                    <w:t>环境风险防控</w:t>
                  </w:r>
                </w:p>
              </w:tc>
              <w:tc>
                <w:tcPr>
                  <w:tcW w:w="3394"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1.加强环境风险防控和应急管理，完善突发环境事件应急预案，强化落实政府主导、部门协调、分级负责、属地为主、全社会参与的环境风险管控机制，定期开展环境风险隐患排查与整治，提升风险防控和突发环境事件应急处理处置能力。</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建设单位按国家、地方及行业相关规范要求制定突发环境事件应急预案，运营过程中环境风险防控和应急管理严格按照应急预案相关要求执行。</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2.严格落实以洱海为重点的饮用水水源地应急防控工作机制，确保饮用水水源安全。</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本项目厂址不在洱海流域划定范围内。</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bottom w:val="single" w:color="auto" w:sz="4"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3.严格尾矿库项目准入，健全完善尾矿库污染防治的长效机制，杜绝非不可抗力因素导致的尾矿库突发环境事件。</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本项目为沥青搅拌站，不属于尾矿库项目。</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restart"/>
                  <w:tcBorders>
                    <w:top w:val="single" w:color="auto" w:sz="4" w:space="0"/>
                    <w:left w:val="single" w:color="auto" w:sz="8" w:space="0"/>
                    <w:right w:val="single" w:color="auto" w:sz="4" w:space="0"/>
                  </w:tcBorders>
                  <w:vAlign w:val="center"/>
                </w:tcPr>
                <w:p>
                  <w:pPr>
                    <w:adjustRightInd w:val="0"/>
                    <w:snapToGrid w:val="0"/>
                    <w:spacing w:line="288" w:lineRule="auto"/>
                    <w:jc w:val="center"/>
                    <w:rPr>
                      <w:kern w:val="0"/>
                      <w:szCs w:val="21"/>
                    </w:rPr>
                  </w:pPr>
                  <w:r>
                    <w:rPr>
                      <w:kern w:val="0"/>
                      <w:szCs w:val="21"/>
                    </w:rPr>
                    <w:t>资源开发利用效率</w:t>
                  </w:r>
                </w:p>
              </w:tc>
              <w:tc>
                <w:tcPr>
                  <w:tcW w:w="3394"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1.强化约束性指标管理，降低水、土地、化石能源等资源消耗强度。</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本项目位于大理白族自治州云龙县团结乡河南箐口，项目已于2016年5月建设完成并投入运营，本次评价为补办环保手续，项目用地为工业用地，无新增用地，项目年生产时长短，水资源消耗量低。</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2.实行最严格的水资源管理制度，建立健全重点取水单位监控名录，强化重点监控取水单位管理，严格用水总量、强度指标管控。全州年用水总量、万元工业增加值用水量降幅等指标达到省考核要求。</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本项目不属于重点取水单位。</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3.坚持最严格的耕地保护制度，守住耕地保护红线。坚持节约用地，严格执行耕地占补平衡等制度，提高土地投资强度</w:t>
                  </w:r>
                  <w:r>
                    <w:rPr>
                      <w:szCs w:val="21"/>
                    </w:rPr>
                    <w:cr/>
                  </w:r>
                  <w:r>
                    <w:rPr>
                      <w:szCs w:val="21"/>
                    </w:rPr>
                    <w:t>单位面积产出水平。</w:t>
                  </w:r>
                </w:p>
              </w:tc>
              <w:tc>
                <w:tcPr>
                  <w:tcW w:w="3293"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本项目位于大理白族自治州云龙县团结乡河南箐口，项目已于2016年5月建设完成并投入运营，本次评价为补办环保手续，项目用地为工业用地，无新增用地，不占用基本农田。</w:t>
                  </w:r>
                </w:p>
              </w:tc>
              <w:tc>
                <w:tcPr>
                  <w:tcW w:w="665"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spacing w:line="288" w:lineRule="auto"/>
                    <w:jc w:val="center"/>
                    <w:rPr>
                      <w:szCs w:val="21"/>
                    </w:rPr>
                  </w:pPr>
                  <w:r>
                    <w:rPr>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5" w:type="dxa"/>
                  <w:vMerge w:val="continue"/>
                  <w:tcBorders>
                    <w:left w:val="single" w:color="auto" w:sz="8" w:space="0"/>
                    <w:bottom w:val="single" w:color="auto" w:sz="8" w:space="0"/>
                    <w:right w:val="single" w:color="auto" w:sz="4" w:space="0"/>
                  </w:tcBorders>
                  <w:vAlign w:val="center"/>
                </w:tcPr>
                <w:p>
                  <w:pPr>
                    <w:adjustRightInd w:val="0"/>
                    <w:snapToGrid w:val="0"/>
                    <w:spacing w:line="288" w:lineRule="auto"/>
                    <w:jc w:val="center"/>
                    <w:rPr>
                      <w:kern w:val="0"/>
                      <w:szCs w:val="21"/>
                    </w:rPr>
                  </w:pPr>
                </w:p>
              </w:tc>
              <w:tc>
                <w:tcPr>
                  <w:tcW w:w="3394" w:type="dxa"/>
                  <w:tcBorders>
                    <w:top w:val="single" w:color="auto" w:sz="4" w:space="0"/>
                    <w:left w:val="single" w:color="auto" w:sz="4" w:space="0"/>
                    <w:bottom w:val="single" w:color="auto" w:sz="8" w:space="0"/>
                    <w:right w:val="single" w:color="auto" w:sz="8" w:space="0"/>
                  </w:tcBorders>
                  <w:vAlign w:val="center"/>
                </w:tcPr>
                <w:p>
                  <w:pPr>
                    <w:widowControl/>
                    <w:adjustRightInd w:val="0"/>
                    <w:snapToGrid w:val="0"/>
                    <w:spacing w:line="288" w:lineRule="auto"/>
                    <w:jc w:val="center"/>
                    <w:rPr>
                      <w:szCs w:val="21"/>
                    </w:rPr>
                  </w:pPr>
                  <w:r>
                    <w:rPr>
                      <w:szCs w:val="21"/>
                    </w:rPr>
                    <w:t>4.全州单位GDP能耗持续下降，能耗增量控制目标达到省考核要求。</w:t>
                  </w:r>
                </w:p>
              </w:tc>
              <w:tc>
                <w:tcPr>
                  <w:tcW w:w="3293" w:type="dxa"/>
                  <w:tcBorders>
                    <w:top w:val="single" w:color="auto" w:sz="4" w:space="0"/>
                    <w:left w:val="single" w:color="auto" w:sz="4" w:space="0"/>
                    <w:bottom w:val="single" w:color="auto" w:sz="8" w:space="0"/>
                    <w:right w:val="single" w:color="auto" w:sz="8" w:space="0"/>
                  </w:tcBorders>
                  <w:vAlign w:val="center"/>
                </w:tcPr>
                <w:p>
                  <w:pPr>
                    <w:widowControl/>
                    <w:adjustRightInd w:val="0"/>
                    <w:snapToGrid w:val="0"/>
                    <w:spacing w:line="288" w:lineRule="auto"/>
                    <w:jc w:val="center"/>
                    <w:rPr>
                      <w:szCs w:val="21"/>
                    </w:rPr>
                  </w:pPr>
                  <w:r>
                    <w:rPr>
                      <w:szCs w:val="21"/>
                    </w:rPr>
                    <w:t>项目运营期使用电能、水，其使用量占区域资源量较少。</w:t>
                  </w:r>
                </w:p>
              </w:tc>
              <w:tc>
                <w:tcPr>
                  <w:tcW w:w="665" w:type="dxa"/>
                  <w:tcBorders>
                    <w:top w:val="single" w:color="auto" w:sz="4" w:space="0"/>
                    <w:left w:val="single" w:color="auto" w:sz="4" w:space="0"/>
                    <w:bottom w:val="single" w:color="auto" w:sz="8" w:space="0"/>
                    <w:right w:val="single" w:color="auto" w:sz="8" w:space="0"/>
                  </w:tcBorders>
                  <w:vAlign w:val="center"/>
                </w:tcPr>
                <w:p>
                  <w:pPr>
                    <w:widowControl/>
                    <w:adjustRightInd w:val="0"/>
                    <w:snapToGrid w:val="0"/>
                    <w:spacing w:line="288" w:lineRule="auto"/>
                    <w:jc w:val="center"/>
                    <w:rPr>
                      <w:szCs w:val="21"/>
                    </w:rPr>
                  </w:pPr>
                  <w:r>
                    <w:rPr>
                      <w:szCs w:val="21"/>
                    </w:rPr>
                    <w:t>符合</w:t>
                  </w:r>
                </w:p>
              </w:tc>
            </w:tr>
          </w:tbl>
          <w:p>
            <w:pPr>
              <w:pStyle w:val="114"/>
            </w:pPr>
            <w:r>
              <w:t>表1-3   项目与一般管控单元生态环境准入清单符合性一览表</w:t>
            </w:r>
          </w:p>
          <w:tbl>
            <w:tblPr>
              <w:tblStyle w:val="29"/>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867"/>
              <w:gridCol w:w="2979"/>
              <w:gridCol w:w="2407"/>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114"/>
                  </w:pPr>
                  <w:r>
                    <w:t>市、县</w:t>
                  </w:r>
                </w:p>
              </w:tc>
              <w:tc>
                <w:tcPr>
                  <w:tcW w:w="867" w:type="dxa"/>
                  <w:vAlign w:val="center"/>
                </w:tcPr>
                <w:p>
                  <w:pPr>
                    <w:pStyle w:val="114"/>
                  </w:pPr>
                  <w:r>
                    <w:t>单元名称</w:t>
                  </w:r>
                </w:p>
              </w:tc>
              <w:tc>
                <w:tcPr>
                  <w:tcW w:w="2979" w:type="dxa"/>
                  <w:vAlign w:val="center"/>
                </w:tcPr>
                <w:p>
                  <w:pPr>
                    <w:pStyle w:val="114"/>
                  </w:pPr>
                  <w:r>
                    <w:t>管控要求</w:t>
                  </w:r>
                </w:p>
              </w:tc>
              <w:tc>
                <w:tcPr>
                  <w:tcW w:w="2407" w:type="dxa"/>
                  <w:vAlign w:val="center"/>
                </w:tcPr>
                <w:p>
                  <w:pPr>
                    <w:pStyle w:val="114"/>
                  </w:pPr>
                  <w:r>
                    <w:t>项目情况</w:t>
                  </w:r>
                </w:p>
              </w:tc>
              <w:tc>
                <w:tcPr>
                  <w:tcW w:w="664" w:type="dxa"/>
                  <w:vAlign w:val="center"/>
                </w:tcPr>
                <w:p>
                  <w:pPr>
                    <w:pStyle w:val="114"/>
                  </w:pPr>
                  <w: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3" w:type="dxa"/>
                  <w:vAlign w:val="center"/>
                </w:tcPr>
                <w:p>
                  <w:pPr>
                    <w:widowControl/>
                    <w:adjustRightInd w:val="0"/>
                    <w:snapToGrid w:val="0"/>
                    <w:spacing w:line="288" w:lineRule="auto"/>
                    <w:jc w:val="center"/>
                    <w:rPr>
                      <w:kern w:val="0"/>
                      <w:szCs w:val="21"/>
                    </w:rPr>
                  </w:pPr>
                  <w:r>
                    <w:rPr>
                      <w:kern w:val="0"/>
                      <w:szCs w:val="21"/>
                    </w:rPr>
                    <w:t>各市县一般管控单元</w:t>
                  </w:r>
                </w:p>
              </w:tc>
              <w:tc>
                <w:tcPr>
                  <w:tcW w:w="867" w:type="dxa"/>
                  <w:vAlign w:val="center"/>
                </w:tcPr>
                <w:p>
                  <w:pPr>
                    <w:widowControl/>
                    <w:adjustRightInd w:val="0"/>
                    <w:snapToGrid w:val="0"/>
                    <w:spacing w:line="288" w:lineRule="auto"/>
                    <w:jc w:val="center"/>
                    <w:rPr>
                      <w:kern w:val="0"/>
                      <w:szCs w:val="21"/>
                    </w:rPr>
                  </w:pPr>
                  <w:r>
                    <w:rPr>
                      <w:kern w:val="0"/>
                      <w:szCs w:val="21"/>
                    </w:rPr>
                    <w:t>空间布局约束</w:t>
                  </w:r>
                </w:p>
              </w:tc>
              <w:tc>
                <w:tcPr>
                  <w:tcW w:w="2979" w:type="dxa"/>
                  <w:vAlign w:val="center"/>
                </w:tcPr>
                <w:p>
                  <w:pPr>
                    <w:widowControl/>
                    <w:adjustRightInd w:val="0"/>
                    <w:snapToGrid w:val="0"/>
                    <w:spacing w:line="288" w:lineRule="auto"/>
                    <w:jc w:val="center"/>
                    <w:rPr>
                      <w:kern w:val="0"/>
                      <w:szCs w:val="21"/>
                    </w:rPr>
                  </w:pPr>
                  <w:r>
                    <w:rPr>
                      <w:kern w:val="0"/>
                      <w:szCs w:val="21"/>
                    </w:rPr>
                    <w:t>落实生态环境保护基本要求，项目建设和运行应满足产业准入、总量控制、排放标准等管理规定。</w:t>
                  </w:r>
                </w:p>
              </w:tc>
              <w:tc>
                <w:tcPr>
                  <w:tcW w:w="2407" w:type="dxa"/>
                  <w:vAlign w:val="center"/>
                </w:tcPr>
                <w:p>
                  <w:pPr>
                    <w:widowControl/>
                    <w:adjustRightInd w:val="0"/>
                    <w:snapToGrid w:val="0"/>
                    <w:spacing w:line="288" w:lineRule="auto"/>
                    <w:jc w:val="center"/>
                    <w:rPr>
                      <w:szCs w:val="21"/>
                    </w:rPr>
                  </w:pPr>
                  <w:r>
                    <w:rPr>
                      <w:szCs w:val="21"/>
                    </w:rPr>
                    <w:t>项目满足产业准入要求,在落实本次评价提出的各项措施后，各项污染物可达标排放。</w:t>
                  </w:r>
                </w:p>
              </w:tc>
              <w:tc>
                <w:tcPr>
                  <w:tcW w:w="664" w:type="dxa"/>
                  <w:vAlign w:val="center"/>
                </w:tcPr>
                <w:p>
                  <w:pPr>
                    <w:pStyle w:val="114"/>
                  </w:pPr>
                  <w:r>
                    <w:t>符合</w:t>
                  </w:r>
                </w:p>
              </w:tc>
            </w:tr>
          </w:tbl>
          <w:p>
            <w:pPr>
              <w:pStyle w:val="86"/>
              <w:ind w:firstLine="480"/>
              <w:rPr>
                <w:rFonts w:cs="Times New Roman"/>
                <w:snapToGrid w:val="0"/>
                <w:lang w:val="zh-CN"/>
              </w:rPr>
            </w:pPr>
            <w:r>
              <w:rPr>
                <w:rFonts w:cs="Times New Roman"/>
                <w:snapToGrid w:val="0"/>
                <w:lang w:val="zh-CN"/>
              </w:rPr>
              <w:t>综上分析，项目建设与《大理州“三线一单”生态环境分区管控实施方案》相关要求均符合。</w:t>
            </w:r>
          </w:p>
          <w:bookmarkEnd w:id="3"/>
          <w:bookmarkEnd w:id="4"/>
          <w:bookmarkEnd w:id="5"/>
          <w:p>
            <w:pPr>
              <w:pStyle w:val="108"/>
              <w:rPr>
                <w:color w:val="auto"/>
                <w:sz w:val="24"/>
                <w:shd w:val="clear" w:color="auto" w:fill="FFFFFF" w:themeFill="background1"/>
              </w:rPr>
            </w:pPr>
            <w:r>
              <w:rPr>
                <w:color w:val="auto"/>
                <w:sz w:val="24"/>
              </w:rPr>
              <w:t>3、与《云南省长江经济带发展负面清单指南实施细则（试行 2022年版）》符合性分析的符合性分析</w:t>
            </w:r>
          </w:p>
          <w:p>
            <w:pPr>
              <w:pStyle w:val="147"/>
            </w:pPr>
            <w:r>
              <w:t>为深入贯彻落实习近平总书记关于推动长江经济带发展的重要讲话和指示批示精神，认真落实长江保护法，根据《长江经济带发展负面清单指南（试行，2022年版）》（长江办〔2022〕7号），结合云南实际，制定本实施细则。本项目与《云南省长江经济带发展负面清单指南实施细则（试行，2022年版）》（云发改基础〔2022〕894号）对比分析表如下所示：</w:t>
            </w:r>
          </w:p>
          <w:p>
            <w:pPr>
              <w:pStyle w:val="151"/>
              <w:rPr>
                <w:color w:val="auto"/>
              </w:rPr>
            </w:pPr>
            <w:r>
              <w:rPr>
                <w:color w:val="auto"/>
              </w:rPr>
              <w:t>表1-4   《云南省长江经济带发展负面清单指南实施细则（试行）2022年版》的符合性分析</w:t>
            </w:r>
          </w:p>
          <w:tbl>
            <w:tblPr>
              <w:tblStyle w:val="28"/>
              <w:tblW w:w="7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4711"/>
              <w:gridCol w:w="1922"/>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序号</w:t>
                  </w:r>
                </w:p>
              </w:tc>
              <w:tc>
                <w:tcPr>
                  <w:tcW w:w="4711" w:type="dxa"/>
                  <w:vAlign w:val="center"/>
                </w:tcPr>
                <w:p>
                  <w:pPr>
                    <w:pStyle w:val="146"/>
                    <w:rPr>
                      <w:b w:val="0"/>
                      <w:color w:val="auto"/>
                      <w:sz w:val="21"/>
                      <w:szCs w:val="21"/>
                      <w:shd w:val="clear" w:color="auto" w:fill="FFFFFF"/>
                    </w:rPr>
                  </w:pPr>
                  <w:r>
                    <w:rPr>
                      <w:b w:val="0"/>
                      <w:color w:val="auto"/>
                      <w:sz w:val="21"/>
                      <w:szCs w:val="21"/>
                      <w:shd w:val="clear" w:color="auto" w:fill="FFFFFF"/>
                    </w:rPr>
                    <w:t>规范要求</w:t>
                  </w:r>
                </w:p>
              </w:tc>
              <w:tc>
                <w:tcPr>
                  <w:tcW w:w="1922" w:type="dxa"/>
                  <w:vAlign w:val="center"/>
                </w:tcPr>
                <w:p>
                  <w:pPr>
                    <w:pStyle w:val="146"/>
                    <w:rPr>
                      <w:b w:val="0"/>
                      <w:color w:val="auto"/>
                      <w:sz w:val="21"/>
                      <w:szCs w:val="21"/>
                    </w:rPr>
                  </w:pPr>
                  <w:r>
                    <w:rPr>
                      <w:b w:val="0"/>
                      <w:color w:val="auto"/>
                      <w:sz w:val="21"/>
                      <w:szCs w:val="21"/>
                    </w:rPr>
                    <w:t>项目实际情况</w:t>
                  </w:r>
                </w:p>
              </w:tc>
              <w:tc>
                <w:tcPr>
                  <w:tcW w:w="749" w:type="dxa"/>
                  <w:vAlign w:val="center"/>
                </w:tcPr>
                <w:p>
                  <w:pPr>
                    <w:pStyle w:val="146"/>
                    <w:rPr>
                      <w:b w:val="0"/>
                      <w:color w:val="auto"/>
                      <w:sz w:val="21"/>
                      <w:szCs w:val="21"/>
                    </w:rPr>
                  </w:pPr>
                  <w:r>
                    <w:rPr>
                      <w:b w:val="0"/>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1</w:t>
                  </w:r>
                </w:p>
              </w:tc>
              <w:tc>
                <w:tcPr>
                  <w:tcW w:w="4711" w:type="dxa"/>
                  <w:vAlign w:val="center"/>
                </w:tcPr>
                <w:p>
                  <w:pPr>
                    <w:pStyle w:val="146"/>
                    <w:rPr>
                      <w:b w:val="0"/>
                      <w:color w:val="auto"/>
                      <w:sz w:val="21"/>
                      <w:szCs w:val="21"/>
                    </w:rPr>
                  </w:pPr>
                  <w:r>
                    <w:rPr>
                      <w:b w:val="0"/>
                      <w:color w:val="auto"/>
                      <w:sz w:val="21"/>
                      <w:szCs w:val="21"/>
                    </w:rPr>
                    <w:t>第一条 禁止新建、改建和扩建不符合《全国内河航道与港口布局规划》等全国港口规划和《昭通市港口码头岸线规划（金沙江段2019年—2035 年）》、《景洪港总体规划（2019—2035年）》等州（市）级以上港口布局规划以及港口总体规划的码头项目。</w:t>
                  </w:r>
                </w:p>
              </w:tc>
              <w:tc>
                <w:tcPr>
                  <w:tcW w:w="1922" w:type="dxa"/>
                  <w:vAlign w:val="center"/>
                </w:tcPr>
                <w:p>
                  <w:pPr>
                    <w:pStyle w:val="146"/>
                    <w:rPr>
                      <w:b w:val="0"/>
                      <w:color w:val="auto"/>
                      <w:sz w:val="21"/>
                      <w:szCs w:val="21"/>
                    </w:rPr>
                  </w:pPr>
                  <w:r>
                    <w:rPr>
                      <w:b w:val="0"/>
                      <w:color w:val="auto"/>
                      <w:sz w:val="21"/>
                      <w:szCs w:val="21"/>
                    </w:rPr>
                    <w:t>本项目为沥青拌合站项目，不属于港口码头项目。</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2</w:t>
                  </w:r>
                </w:p>
              </w:tc>
              <w:tc>
                <w:tcPr>
                  <w:tcW w:w="4711" w:type="dxa"/>
                  <w:vAlign w:val="center"/>
                </w:tcPr>
                <w:p>
                  <w:pPr>
                    <w:pStyle w:val="146"/>
                    <w:rPr>
                      <w:b w:val="0"/>
                      <w:color w:val="auto"/>
                      <w:sz w:val="21"/>
                      <w:szCs w:val="21"/>
                    </w:rPr>
                  </w:pPr>
                  <w:r>
                    <w:rPr>
                      <w:b w:val="0"/>
                      <w:color w:val="auto"/>
                      <w:sz w:val="21"/>
                      <w:szCs w:val="21"/>
                    </w:rPr>
                    <w:t>第二条 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922" w:type="dxa"/>
                  <w:vAlign w:val="center"/>
                </w:tcPr>
                <w:p>
                  <w:pPr>
                    <w:pStyle w:val="146"/>
                    <w:rPr>
                      <w:b w:val="0"/>
                      <w:color w:val="auto"/>
                      <w:sz w:val="21"/>
                      <w:szCs w:val="21"/>
                    </w:rPr>
                  </w:pPr>
                  <w:r>
                    <w:rPr>
                      <w:b w:val="0"/>
                      <w:color w:val="auto"/>
                      <w:sz w:val="21"/>
                      <w:szCs w:val="21"/>
                    </w:rPr>
                    <w:t>本项目在大理白族自治州云龙县团结乡河南箐口进行生产。项目所在地不涉及自然保护区。</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3</w:t>
                  </w:r>
                </w:p>
              </w:tc>
              <w:tc>
                <w:tcPr>
                  <w:tcW w:w="4711" w:type="dxa"/>
                  <w:vAlign w:val="center"/>
                </w:tcPr>
                <w:p>
                  <w:pPr>
                    <w:pStyle w:val="146"/>
                    <w:rPr>
                      <w:b w:val="0"/>
                      <w:color w:val="auto"/>
                      <w:sz w:val="21"/>
                      <w:szCs w:val="21"/>
                    </w:rPr>
                  </w:pPr>
                  <w:r>
                    <w:rPr>
                      <w:b w:val="0"/>
                      <w:color w:val="auto"/>
                      <w:sz w:val="21"/>
                      <w:szCs w:val="21"/>
                    </w:rPr>
                    <w:t>第三条 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 :禁止在风景名胜区内设立开发区和在核心景区内建设宾馆、会所、培训中心、疗养院以及与风景名胜资源保护无关的投资建设项目。</w:t>
                  </w:r>
                </w:p>
              </w:tc>
              <w:tc>
                <w:tcPr>
                  <w:tcW w:w="1922" w:type="dxa"/>
                  <w:vAlign w:val="center"/>
                </w:tcPr>
                <w:p>
                  <w:pPr>
                    <w:pStyle w:val="146"/>
                    <w:rPr>
                      <w:b w:val="0"/>
                      <w:color w:val="auto"/>
                      <w:sz w:val="21"/>
                      <w:szCs w:val="21"/>
                    </w:rPr>
                  </w:pPr>
                  <w:r>
                    <w:rPr>
                      <w:b w:val="0"/>
                      <w:color w:val="auto"/>
                      <w:sz w:val="21"/>
                      <w:szCs w:val="21"/>
                    </w:rPr>
                    <w:t>本项目为沥青拌合站项目，在大理白族自治州云龙县团结乡河南箐口进行生产。项目所在地不涉及风景名胜区。</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p>
              </w:tc>
              <w:tc>
                <w:tcPr>
                  <w:tcW w:w="4711" w:type="dxa"/>
                  <w:vAlign w:val="center"/>
                </w:tcPr>
                <w:p>
                  <w:pPr>
                    <w:pStyle w:val="146"/>
                    <w:rPr>
                      <w:b w:val="0"/>
                      <w:color w:val="auto"/>
                      <w:sz w:val="21"/>
                      <w:szCs w:val="21"/>
                    </w:rPr>
                  </w:pPr>
                  <w:r>
                    <w:rPr>
                      <w:b w:val="0"/>
                      <w:color w:val="auto"/>
                      <w:sz w:val="21"/>
                      <w:szCs w:val="21"/>
                    </w:rPr>
                    <w:t>第四条 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w:t>
                  </w:r>
                  <w:r>
                    <w:rPr>
                      <w:b w:val="0"/>
                      <w:color w:val="auto"/>
                      <w:sz w:val="21"/>
                      <w:szCs w:val="21"/>
                    </w:rPr>
                    <w:cr/>
                  </w:r>
                  <w:r>
                    <w:rPr>
                      <w:b w:val="0"/>
                      <w:color w:val="auto"/>
                      <w:sz w:val="21"/>
                      <w:szCs w:val="21"/>
                    </w:rPr>
                    <w:t>目。</w:t>
                  </w:r>
                </w:p>
              </w:tc>
              <w:tc>
                <w:tcPr>
                  <w:tcW w:w="1922" w:type="dxa"/>
                  <w:vAlign w:val="center"/>
                </w:tcPr>
                <w:p>
                  <w:pPr>
                    <w:pStyle w:val="146"/>
                    <w:rPr>
                      <w:b w:val="0"/>
                      <w:color w:val="auto"/>
                      <w:sz w:val="21"/>
                      <w:szCs w:val="21"/>
                    </w:rPr>
                  </w:pPr>
                  <w:r>
                    <w:rPr>
                      <w:b w:val="0"/>
                      <w:color w:val="auto"/>
                      <w:sz w:val="21"/>
                      <w:szCs w:val="21"/>
                    </w:rPr>
                    <w:t>本项目为沥青拌合项目，在大理白族自治州云龙县团结乡河南箐口进行生产。根据大理白族自治州生态环境局云龙分局关于云龙公路分局沥青拌公站新建项目用地范围选址意见，项目所在地不涉及饮用水水源保护区。</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5</w:t>
                  </w:r>
                </w:p>
              </w:tc>
              <w:tc>
                <w:tcPr>
                  <w:tcW w:w="4711" w:type="dxa"/>
                  <w:vAlign w:val="center"/>
                </w:tcPr>
                <w:p>
                  <w:pPr>
                    <w:pStyle w:val="146"/>
                    <w:rPr>
                      <w:b w:val="0"/>
                      <w:color w:val="auto"/>
                      <w:sz w:val="21"/>
                      <w:szCs w:val="21"/>
                    </w:rPr>
                  </w:pPr>
                  <w:r>
                    <w:rPr>
                      <w:b w:val="0"/>
                      <w:color w:val="auto"/>
                      <w:sz w:val="21"/>
                      <w:szCs w:val="21"/>
                    </w:rPr>
                    <w:t>第五条 禁止在水产种质资源保护区的岸线和河段范围内新建围湖造田、围湖造地或围填海等投资建设项目。禁止擅自征收、占用国家湿地公园的土地 :禁止在国家湿地公园内挖沙、采矿，以及建设度假村、高尔夫球场等任何不符合主体功能定位的投资建设项目。</w:t>
                  </w:r>
                </w:p>
              </w:tc>
              <w:tc>
                <w:tcPr>
                  <w:tcW w:w="1922" w:type="dxa"/>
                  <w:vAlign w:val="center"/>
                </w:tcPr>
                <w:p>
                  <w:pPr>
                    <w:pStyle w:val="146"/>
                    <w:rPr>
                      <w:b w:val="0"/>
                      <w:color w:val="auto"/>
                      <w:sz w:val="21"/>
                      <w:szCs w:val="21"/>
                    </w:rPr>
                  </w:pPr>
                  <w:r>
                    <w:rPr>
                      <w:b w:val="0"/>
                      <w:color w:val="auto"/>
                      <w:sz w:val="21"/>
                      <w:szCs w:val="21"/>
                    </w:rPr>
                    <w:t>本项目为沥青拌合站项目，在大理白族自治州云龙县团结乡河南箐口进行生产。项目所在地不涉及水产种质资源保护区。</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6</w:t>
                  </w:r>
                </w:p>
              </w:tc>
              <w:tc>
                <w:tcPr>
                  <w:tcW w:w="4711" w:type="dxa"/>
                  <w:vAlign w:val="center"/>
                </w:tcPr>
                <w:p>
                  <w:pPr>
                    <w:pStyle w:val="146"/>
                    <w:rPr>
                      <w:b w:val="0"/>
                      <w:color w:val="auto"/>
                      <w:sz w:val="21"/>
                      <w:szCs w:val="21"/>
                    </w:rPr>
                  </w:pPr>
                  <w:r>
                    <w:rPr>
                      <w:b w:val="0"/>
                      <w:color w:val="auto"/>
                      <w:sz w:val="21"/>
                      <w:szCs w:val="21"/>
                    </w:rPr>
                    <w:t>第六条 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922" w:type="dxa"/>
                  <w:vAlign w:val="center"/>
                </w:tcPr>
                <w:p>
                  <w:pPr>
                    <w:pStyle w:val="146"/>
                    <w:rPr>
                      <w:b w:val="0"/>
                      <w:color w:val="auto"/>
                      <w:sz w:val="21"/>
                      <w:szCs w:val="21"/>
                    </w:rPr>
                  </w:pPr>
                  <w:r>
                    <w:rPr>
                      <w:b w:val="0"/>
                      <w:color w:val="auto"/>
                      <w:sz w:val="21"/>
                      <w:szCs w:val="21"/>
                    </w:rPr>
                    <w:t>本项目为沥青拌合站项目，在大理白族自治州云龙县团结乡河南箐口进行生产。项目区最近的主要地表水体为项目东侧3m处的顺濞河（关坪河），不在《长江岸线保护和开发利用总体规划》划定的岸线保护区和保留区内。</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7</w:t>
                  </w:r>
                </w:p>
              </w:tc>
              <w:tc>
                <w:tcPr>
                  <w:tcW w:w="4711" w:type="dxa"/>
                  <w:vAlign w:val="center"/>
                </w:tcPr>
                <w:p>
                  <w:pPr>
                    <w:pStyle w:val="146"/>
                    <w:rPr>
                      <w:b w:val="0"/>
                      <w:color w:val="auto"/>
                      <w:sz w:val="21"/>
                      <w:szCs w:val="21"/>
                    </w:rPr>
                  </w:pPr>
                  <w:r>
                    <w:rPr>
                      <w:b w:val="0"/>
                      <w:color w:val="auto"/>
                      <w:sz w:val="21"/>
                      <w:szCs w:val="21"/>
                    </w:rPr>
                    <w:t>第七条 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922" w:type="dxa"/>
                  <w:vAlign w:val="center"/>
                </w:tcPr>
                <w:p>
                  <w:pPr>
                    <w:pStyle w:val="146"/>
                    <w:rPr>
                      <w:b w:val="0"/>
                      <w:color w:val="auto"/>
                      <w:sz w:val="21"/>
                      <w:szCs w:val="21"/>
                    </w:rPr>
                  </w:pPr>
                  <w:r>
                    <w:rPr>
                      <w:b w:val="0"/>
                      <w:color w:val="auto"/>
                      <w:sz w:val="21"/>
                      <w:szCs w:val="21"/>
                    </w:rPr>
                    <w:t>本项目为沥青拌合站项目，在大理白族自治州云龙县团结乡河南箐口进行生产。项目区不属于金沙江干流、长江一级支流。</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8</w:t>
                  </w:r>
                </w:p>
              </w:tc>
              <w:tc>
                <w:tcPr>
                  <w:tcW w:w="4711" w:type="dxa"/>
                  <w:vAlign w:val="center"/>
                </w:tcPr>
                <w:p>
                  <w:pPr>
                    <w:pStyle w:val="146"/>
                    <w:rPr>
                      <w:b w:val="0"/>
                      <w:color w:val="auto"/>
                      <w:sz w:val="21"/>
                      <w:szCs w:val="21"/>
                    </w:rPr>
                  </w:pPr>
                  <w:r>
                    <w:rPr>
                      <w:b w:val="0"/>
                      <w:color w:val="auto"/>
                      <w:sz w:val="21"/>
                      <w:szCs w:val="21"/>
                    </w:rPr>
                    <w:t>第八条 禁止在金沙江干流、长江一级支流、水生生物保护区和长江流域禁捕水域开展天然渔业资源生产性捕捞。</w:t>
                  </w:r>
                </w:p>
              </w:tc>
              <w:tc>
                <w:tcPr>
                  <w:tcW w:w="1922" w:type="dxa"/>
                  <w:vAlign w:val="center"/>
                </w:tcPr>
                <w:p>
                  <w:pPr>
                    <w:pStyle w:val="146"/>
                    <w:rPr>
                      <w:b w:val="0"/>
                      <w:color w:val="auto"/>
                      <w:sz w:val="21"/>
                      <w:szCs w:val="21"/>
                    </w:rPr>
                  </w:pPr>
                  <w:r>
                    <w:rPr>
                      <w:b w:val="0"/>
                      <w:color w:val="auto"/>
                      <w:sz w:val="21"/>
                      <w:szCs w:val="21"/>
                    </w:rPr>
                    <w:t>本项目为沥青拌合站项目，不开展天然渔业资源生产性捕捞。</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9</w:t>
                  </w:r>
                </w:p>
              </w:tc>
              <w:tc>
                <w:tcPr>
                  <w:tcW w:w="4711" w:type="dxa"/>
                  <w:vAlign w:val="center"/>
                </w:tcPr>
                <w:p>
                  <w:pPr>
                    <w:pStyle w:val="146"/>
                    <w:rPr>
                      <w:b w:val="0"/>
                      <w:color w:val="auto"/>
                      <w:sz w:val="21"/>
                      <w:szCs w:val="21"/>
                    </w:rPr>
                  </w:pPr>
                  <w:r>
                    <w:rPr>
                      <w:b w:val="0"/>
                      <w:color w:val="auto"/>
                      <w:sz w:val="21"/>
                      <w:szCs w:val="21"/>
                    </w:rPr>
                    <w:t>第九条 禁止在金沙江干流 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改建除外。</w:t>
                  </w:r>
                </w:p>
              </w:tc>
              <w:tc>
                <w:tcPr>
                  <w:tcW w:w="1922" w:type="dxa"/>
                  <w:vAlign w:val="center"/>
                </w:tcPr>
                <w:p>
                  <w:pPr>
                    <w:pStyle w:val="146"/>
                    <w:rPr>
                      <w:b w:val="0"/>
                      <w:color w:val="auto"/>
                      <w:sz w:val="21"/>
                      <w:szCs w:val="21"/>
                    </w:rPr>
                  </w:pPr>
                  <w:r>
                    <w:rPr>
                      <w:b w:val="0"/>
                      <w:color w:val="auto"/>
                      <w:sz w:val="21"/>
                      <w:szCs w:val="21"/>
                    </w:rPr>
                    <w:t>本项目沥青拌合站项目，不属于化工、尾矿库、冶炼渣库和磷石膏库项目。</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cr/>
                  </w:r>
                  <w:r>
                    <w:rPr>
                      <w:b w:val="0"/>
                      <w:color w:val="auto"/>
                      <w:sz w:val="21"/>
                      <w:szCs w:val="21"/>
                      <w:shd w:val="clear" w:color="auto" w:fill="FFFFFF"/>
                    </w:rPr>
                    <w:t>0</w:t>
                  </w:r>
                </w:p>
              </w:tc>
              <w:tc>
                <w:tcPr>
                  <w:tcW w:w="4711" w:type="dxa"/>
                  <w:vAlign w:val="center"/>
                </w:tcPr>
                <w:p>
                  <w:pPr>
                    <w:pStyle w:val="146"/>
                    <w:rPr>
                      <w:b w:val="0"/>
                      <w:color w:val="auto"/>
                      <w:sz w:val="21"/>
                      <w:szCs w:val="21"/>
                    </w:rPr>
                  </w:pPr>
                  <w:r>
                    <w:rPr>
                      <w:b w:val="0"/>
                      <w:color w:val="auto"/>
                      <w:sz w:val="21"/>
                      <w:szCs w:val="21"/>
                    </w:rPr>
                    <w:t>第十条 禁止在合规园区外新建、扩建钢铁、石化、化工、焦化、建材、有色、制浆造纸行业中的高污染项目。</w:t>
                  </w:r>
                </w:p>
              </w:tc>
              <w:tc>
                <w:tcPr>
                  <w:tcW w:w="1922" w:type="dxa"/>
                  <w:vAlign w:val="center"/>
                </w:tcPr>
                <w:p>
                  <w:pPr>
                    <w:pStyle w:val="146"/>
                    <w:rPr>
                      <w:b w:val="0"/>
                      <w:color w:val="auto"/>
                      <w:sz w:val="21"/>
                      <w:szCs w:val="21"/>
                    </w:rPr>
                  </w:pPr>
                  <w:r>
                    <w:rPr>
                      <w:b w:val="0"/>
                      <w:color w:val="auto"/>
                      <w:sz w:val="21"/>
                      <w:szCs w:val="21"/>
                    </w:rPr>
                    <w:t>本项目为沥青拌合站项目，在大理白族自治州云龙县团结乡河南箐口进行生产。不属于钢铁、石化、化工、焦化、建材、有色、制浆造纸行业中的高污染项目。</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11</w:t>
                  </w:r>
                </w:p>
              </w:tc>
              <w:tc>
                <w:tcPr>
                  <w:tcW w:w="4711" w:type="dxa"/>
                  <w:vAlign w:val="center"/>
                </w:tcPr>
                <w:p>
                  <w:pPr>
                    <w:pStyle w:val="146"/>
                    <w:rPr>
                      <w:b w:val="0"/>
                      <w:color w:val="auto"/>
                      <w:sz w:val="21"/>
                      <w:szCs w:val="21"/>
                    </w:rPr>
                  </w:pPr>
                  <w:r>
                    <w:rPr>
                      <w:b w:val="0"/>
                      <w:color w:val="auto"/>
                      <w:sz w:val="21"/>
                      <w:szCs w:val="21"/>
                    </w:rPr>
                    <w:t>第十一条 禁止新建、扩建不符合国家石化、现代煤化工等产业布局规划的项目。禁止列入《云南省城镇人口密集区危险化学品生产企业搬迁改造名单》的搬迁改造企业在原址新建、扩建危险化学品生产项目。</w:t>
                  </w:r>
                </w:p>
              </w:tc>
              <w:tc>
                <w:tcPr>
                  <w:tcW w:w="1922" w:type="dxa"/>
                  <w:vAlign w:val="center"/>
                </w:tcPr>
                <w:p>
                  <w:pPr>
                    <w:pStyle w:val="146"/>
                    <w:rPr>
                      <w:b w:val="0"/>
                      <w:color w:val="auto"/>
                      <w:sz w:val="21"/>
                      <w:szCs w:val="21"/>
                    </w:rPr>
                  </w:pPr>
                  <w:r>
                    <w:rPr>
                      <w:b w:val="0"/>
                      <w:color w:val="auto"/>
                      <w:sz w:val="21"/>
                      <w:szCs w:val="21"/>
                    </w:rPr>
                    <w:t>本项目为沥青拌合站项目，在大理白族自治州云龙县团结乡河南箐口进行生产。不属于危险化学品生产项目。</w:t>
                  </w:r>
                </w:p>
              </w:tc>
              <w:tc>
                <w:tcPr>
                  <w:tcW w:w="749"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9" w:type="dxa"/>
                  <w:vAlign w:val="center"/>
                </w:tcPr>
                <w:p>
                  <w:pPr>
                    <w:pStyle w:val="146"/>
                    <w:rPr>
                      <w:b w:val="0"/>
                      <w:color w:val="auto"/>
                      <w:sz w:val="21"/>
                      <w:szCs w:val="21"/>
                      <w:shd w:val="clear" w:color="auto" w:fill="FFFFFF"/>
                    </w:rPr>
                  </w:pPr>
                  <w:r>
                    <w:rPr>
                      <w:b w:val="0"/>
                      <w:color w:val="auto"/>
                      <w:sz w:val="21"/>
                      <w:szCs w:val="21"/>
                      <w:shd w:val="clear" w:color="auto" w:fill="FFFFFF"/>
                    </w:rPr>
                    <w:t>12</w:t>
                  </w:r>
                </w:p>
              </w:tc>
              <w:tc>
                <w:tcPr>
                  <w:tcW w:w="4711" w:type="dxa"/>
                  <w:vAlign w:val="center"/>
                </w:tcPr>
                <w:p>
                  <w:pPr>
                    <w:pStyle w:val="146"/>
                    <w:rPr>
                      <w:b w:val="0"/>
                      <w:color w:val="auto"/>
                      <w:sz w:val="21"/>
                      <w:szCs w:val="21"/>
                    </w:rPr>
                  </w:pPr>
                  <w:r>
                    <w:rPr>
                      <w:b w:val="0"/>
                      <w:color w:val="auto"/>
                      <w:sz w:val="21"/>
                      <w:szCs w:val="21"/>
                    </w:rPr>
                    <w:t>第十二条 禁止新建、扩建法律法规和相关政策明命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电石、焦炭、黄磷、烧碱、纯碱、聚氯乙烯等行业新增产能。</w:t>
                  </w:r>
                </w:p>
              </w:tc>
              <w:tc>
                <w:tcPr>
                  <w:tcW w:w="1922" w:type="dxa"/>
                  <w:vAlign w:val="center"/>
                </w:tcPr>
                <w:p>
                  <w:pPr>
                    <w:pStyle w:val="146"/>
                    <w:rPr>
                      <w:b w:val="0"/>
                      <w:color w:val="auto"/>
                      <w:sz w:val="21"/>
                      <w:szCs w:val="21"/>
                    </w:rPr>
                  </w:pPr>
                  <w:r>
                    <w:rPr>
                      <w:b w:val="0"/>
                      <w:color w:val="auto"/>
                      <w:sz w:val="21"/>
                      <w:szCs w:val="21"/>
                    </w:rPr>
                    <w:t>本项目为沥青拌合站项目，在大理白族自治州云龙县团结乡河南箐口进行生产，且本项目不属于高耗能、高污染类项目。</w:t>
                  </w:r>
                </w:p>
              </w:tc>
              <w:tc>
                <w:tcPr>
                  <w:tcW w:w="749" w:type="dxa"/>
                  <w:vAlign w:val="center"/>
                </w:tcPr>
                <w:p>
                  <w:pPr>
                    <w:pStyle w:val="146"/>
                    <w:rPr>
                      <w:b w:val="0"/>
                      <w:color w:val="auto"/>
                      <w:sz w:val="21"/>
                      <w:szCs w:val="21"/>
                    </w:rPr>
                  </w:pPr>
                  <w:r>
                    <w:rPr>
                      <w:b w:val="0"/>
                      <w:color w:val="auto"/>
                      <w:sz w:val="21"/>
                      <w:szCs w:val="21"/>
                    </w:rPr>
                    <w:t>符合</w:t>
                  </w:r>
                </w:p>
              </w:tc>
            </w:tr>
          </w:tbl>
          <w:p>
            <w:pPr>
              <w:pStyle w:val="147"/>
            </w:pPr>
            <w:r>
              <w:t>综上，综上所述，本项目符合《云南省长江经济带发展负面清单指南实施细则（试行，2022年版）》中的相关规定。</w:t>
            </w:r>
          </w:p>
          <w:p>
            <w:pPr>
              <w:pStyle w:val="108"/>
              <w:rPr>
                <w:color w:val="auto"/>
                <w:sz w:val="24"/>
                <w:shd w:val="clear" w:color="auto" w:fill="FFFFFF" w:themeFill="background1"/>
              </w:rPr>
            </w:pPr>
            <w:r>
              <w:rPr>
                <w:color w:val="auto"/>
                <w:sz w:val="24"/>
              </w:rPr>
              <w:t>4、</w:t>
            </w:r>
            <w:r>
              <w:rPr>
                <w:color w:val="auto"/>
                <w:sz w:val="24"/>
                <w:shd w:val="clear" w:color="auto" w:fill="FFFFFF" w:themeFill="background1"/>
              </w:rPr>
              <w:t>与《大理州“十四五”生态环境保护规划》的符合性分析</w:t>
            </w:r>
          </w:p>
          <w:p>
            <w:pPr>
              <w:autoSpaceDE w:val="0"/>
              <w:autoSpaceDN w:val="0"/>
              <w:adjustRightInd w:val="0"/>
              <w:spacing w:line="360" w:lineRule="auto"/>
              <w:ind w:firstLine="480" w:firstLineChars="200"/>
              <w:rPr>
                <w:sz w:val="24"/>
                <w:shd w:val="clear" w:color="auto" w:fill="FFFFFF" w:themeFill="background1"/>
              </w:rPr>
            </w:pPr>
            <w:r>
              <w:rPr>
                <w:sz w:val="24"/>
                <w:shd w:val="clear" w:color="auto" w:fill="FFFFFF" w:themeFill="background1"/>
              </w:rPr>
              <w:t>大理白族自治州人民政府于2022年8月22日发布《大理州“十四五”生态环境保护规划》，本项目与该规划的符合性分析详见表1-5。</w:t>
            </w:r>
          </w:p>
          <w:p>
            <w:pPr>
              <w:pStyle w:val="7"/>
              <w:keepNext/>
              <w:jc w:val="center"/>
              <w:rPr>
                <w:rFonts w:ascii="Times New Roman" w:hAnsi="Times New Roman" w:eastAsia="宋体" w:cs="Times New Roman"/>
                <w:b/>
              </w:rPr>
            </w:pPr>
            <w:r>
              <w:rPr>
                <w:rFonts w:ascii="Times New Roman" w:hAnsi="Times New Roman" w:eastAsia="宋体" w:cs="Times New Roman"/>
                <w:b/>
              </w:rPr>
              <w:t>表1-5   与《大理州“十四五”生态环境保护规划》的相符性</w:t>
            </w:r>
          </w:p>
          <w:tbl>
            <w:tblPr>
              <w:tblStyle w:val="28"/>
              <w:tblW w:w="7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4363"/>
              <w:gridCol w:w="243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4823" w:type="dxa"/>
                  <w:gridSpan w:val="2"/>
                  <w:vAlign w:val="center"/>
                </w:tcPr>
                <w:p>
                  <w:pPr>
                    <w:jc w:val="center"/>
                    <w:rPr>
                      <w:b/>
                      <w:szCs w:val="21"/>
                    </w:rPr>
                  </w:pPr>
                  <w:r>
                    <w:rPr>
                      <w:b/>
                      <w:szCs w:val="21"/>
                    </w:rPr>
                    <w:t>《大理州“十四五”生态环境保护规划》相关要求</w:t>
                  </w:r>
                </w:p>
              </w:tc>
              <w:tc>
                <w:tcPr>
                  <w:tcW w:w="2437" w:type="dxa"/>
                  <w:vAlign w:val="center"/>
                </w:tcPr>
                <w:p>
                  <w:pPr>
                    <w:jc w:val="center"/>
                    <w:rPr>
                      <w:b/>
                      <w:szCs w:val="21"/>
                    </w:rPr>
                  </w:pPr>
                  <w:r>
                    <w:rPr>
                      <w:b/>
                      <w:szCs w:val="21"/>
                    </w:rPr>
                    <w:t>项目情况</w:t>
                  </w:r>
                </w:p>
              </w:tc>
              <w:tc>
                <w:tcPr>
                  <w:tcW w:w="667" w:type="dxa"/>
                  <w:vAlign w:val="center"/>
                </w:tcPr>
                <w:p>
                  <w:pPr>
                    <w:jc w:val="center"/>
                    <w:rPr>
                      <w:b/>
                      <w:szCs w:val="21"/>
                    </w:rPr>
                  </w:pPr>
                  <w:r>
                    <w:rPr>
                      <w:b/>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 w:type="dxa"/>
                  <w:vAlign w:val="center"/>
                </w:tcPr>
                <w:p>
                  <w:pPr>
                    <w:jc w:val="center"/>
                    <w:rPr>
                      <w:szCs w:val="21"/>
                    </w:rPr>
                  </w:pPr>
                  <w:r>
                    <w:rPr>
                      <w:szCs w:val="21"/>
                    </w:rPr>
                    <w:t>1</w:t>
                  </w:r>
                </w:p>
              </w:tc>
              <w:tc>
                <w:tcPr>
                  <w:tcW w:w="4363" w:type="dxa"/>
                  <w:vAlign w:val="center"/>
                </w:tcPr>
                <w:p>
                  <w:pPr>
                    <w:jc w:val="center"/>
                    <w:rPr>
                      <w:szCs w:val="21"/>
                    </w:rPr>
                  </w:pPr>
                  <w:r>
                    <w:rPr>
                      <w:szCs w:val="21"/>
                    </w:rPr>
                    <w:t>推进产业、能源、运输结构优化调整。巩固城市建成区及周边重污染行业搬迁、关停淘汰、转型升级成效，逐步实现州级、县（市）政府所在地城市建成区及周边无重污染企业。推动实施重点行业绿色转型、产业集群和园区升级改造、产业布局优化调整、工业炉窑深度治理、VOC，全过程综合整治。启动非电行业超低排放改造，推进可再生能源、天然气、电力等替代燃煤工程。推动“增气减煤”统筹联动，进一步降低煤炭消费比例。</w:t>
                  </w:r>
                </w:p>
              </w:tc>
              <w:tc>
                <w:tcPr>
                  <w:tcW w:w="2437" w:type="dxa"/>
                  <w:vMerge w:val="restart"/>
                  <w:vAlign w:val="center"/>
                </w:tcPr>
                <w:p>
                  <w:pPr>
                    <w:jc w:val="center"/>
                    <w:rPr>
                      <w:szCs w:val="21"/>
                    </w:rPr>
                  </w:pPr>
                  <w:r>
                    <w:rPr>
                      <w:szCs w:val="21"/>
                    </w:rPr>
                    <w:t>本项目的供能方式为油气两用燃烧机，砂料加工工序将采用柴油供热；沥青储罐为电加热沥青储存罐，其沥青加热工序采用电能供热。</w:t>
                  </w:r>
                </w:p>
              </w:tc>
              <w:tc>
                <w:tcPr>
                  <w:tcW w:w="667"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 w:type="dxa"/>
                  <w:vAlign w:val="center"/>
                </w:tcPr>
                <w:p>
                  <w:pPr>
                    <w:jc w:val="center"/>
                    <w:rPr>
                      <w:szCs w:val="21"/>
                    </w:rPr>
                  </w:pPr>
                  <w:r>
                    <w:rPr>
                      <w:szCs w:val="21"/>
                    </w:rPr>
                    <w:t>2</w:t>
                  </w:r>
                </w:p>
              </w:tc>
              <w:tc>
                <w:tcPr>
                  <w:tcW w:w="4363" w:type="dxa"/>
                  <w:vAlign w:val="center"/>
                </w:tcPr>
                <w:p>
                  <w:pPr>
                    <w:jc w:val="center"/>
                    <w:rPr>
                      <w:szCs w:val="21"/>
                    </w:rPr>
                  </w:pPr>
                  <w:r>
                    <w:rPr>
                      <w:szCs w:val="21"/>
                    </w:rPr>
                    <w:t>全面整治燃煤小锅炉。加快推进“煤改气”“煤改电”工程建设。持续开展燃煤锅炉整治，全面淘汰每小时10蒸吨及以下燃煤锅炉。在供气管网不能覆盖的地区，改用电、生物质能等新能源或洁净煤，推广应用高效节能环保型锅炉。</w:t>
                  </w:r>
                </w:p>
              </w:tc>
              <w:tc>
                <w:tcPr>
                  <w:tcW w:w="2437" w:type="dxa"/>
                  <w:vMerge w:val="continue"/>
                  <w:vAlign w:val="center"/>
                </w:tcPr>
                <w:p>
                  <w:pPr>
                    <w:jc w:val="center"/>
                    <w:rPr>
                      <w:szCs w:val="21"/>
                    </w:rPr>
                  </w:pPr>
                </w:p>
              </w:tc>
              <w:tc>
                <w:tcPr>
                  <w:tcW w:w="667"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 w:type="dxa"/>
                  <w:vAlign w:val="center"/>
                </w:tcPr>
                <w:p>
                  <w:pPr>
                    <w:jc w:val="center"/>
                    <w:rPr>
                      <w:szCs w:val="21"/>
                    </w:rPr>
                  </w:pPr>
                  <w:r>
                    <w:rPr>
                      <w:szCs w:val="21"/>
                    </w:rPr>
                    <w:t>3</w:t>
                  </w:r>
                </w:p>
              </w:tc>
              <w:tc>
                <w:tcPr>
                  <w:tcW w:w="4363" w:type="dxa"/>
                  <w:vAlign w:val="center"/>
                </w:tcPr>
                <w:p>
                  <w:pPr>
                    <w:jc w:val="center"/>
                    <w:rPr>
                      <w:szCs w:val="21"/>
                    </w:rPr>
                  </w:pPr>
                  <w:r>
                    <w:rPr>
                      <w:szCs w:val="21"/>
                    </w:rPr>
                    <w:t>加强噪声监督管理力度。加强对工业生产、建筑施工、交通运输和社会生活等各类环境噪声的防控。严厉查处工业企业噪声排放超标扰民行为，实现工业噪声全面达标排放。</w:t>
                  </w:r>
                </w:p>
              </w:tc>
              <w:tc>
                <w:tcPr>
                  <w:tcW w:w="2437" w:type="dxa"/>
                  <w:vAlign w:val="center"/>
                </w:tcPr>
                <w:p>
                  <w:pPr>
                    <w:jc w:val="center"/>
                    <w:rPr>
                      <w:szCs w:val="21"/>
                    </w:rPr>
                  </w:pPr>
                  <w:r>
                    <w:rPr>
                      <w:szCs w:val="21"/>
                    </w:rPr>
                    <w:t>本项目生产设备底部加装了减震垫，评价提出运营期减少多台设备同时运行；定期对机械设备进行检修润滑，减少因设备老旧、磨损而产生的噪声；运输车辆减速慢行、禁止鸣笛。</w:t>
                  </w:r>
                </w:p>
              </w:tc>
              <w:tc>
                <w:tcPr>
                  <w:tcW w:w="667"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 w:type="dxa"/>
                  <w:vAlign w:val="center"/>
                </w:tcPr>
                <w:p>
                  <w:pPr>
                    <w:jc w:val="center"/>
                    <w:rPr>
                      <w:szCs w:val="21"/>
                    </w:rPr>
                  </w:pPr>
                  <w:r>
                    <w:rPr>
                      <w:szCs w:val="21"/>
                    </w:rPr>
                    <w:t>4</w:t>
                  </w:r>
                </w:p>
              </w:tc>
              <w:tc>
                <w:tcPr>
                  <w:tcW w:w="4363" w:type="dxa"/>
                  <w:vAlign w:val="center"/>
                </w:tcPr>
                <w:p>
                  <w:pPr>
                    <w:jc w:val="center"/>
                    <w:rPr>
                      <w:szCs w:val="21"/>
                    </w:rPr>
                  </w:pPr>
                  <w:r>
                    <w:rPr>
                      <w:szCs w:val="21"/>
                    </w:rPr>
                    <w:t>加强耕地污染源头控制。永久基本农田集中区域不得规划新建可能造成土壤污染的建设项目。</w:t>
                  </w:r>
                </w:p>
              </w:tc>
              <w:tc>
                <w:tcPr>
                  <w:tcW w:w="2437" w:type="dxa"/>
                  <w:vAlign w:val="center"/>
                </w:tcPr>
                <w:p>
                  <w:pPr>
                    <w:jc w:val="center"/>
                    <w:rPr>
                      <w:szCs w:val="21"/>
                    </w:rPr>
                  </w:pPr>
                  <w:r>
                    <w:rPr>
                      <w:szCs w:val="21"/>
                    </w:rPr>
                    <w:t>本项目位于大理白族自治州云龙县团结乡河南箐口，项目已于2016年5月建设完成并投入运营，本次评价为补办环保手续，项目用地为工业用地，无新增用地。不占用基本农田</w:t>
                  </w:r>
                </w:p>
              </w:tc>
              <w:tc>
                <w:tcPr>
                  <w:tcW w:w="667"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 w:type="dxa"/>
                  <w:vAlign w:val="center"/>
                </w:tcPr>
                <w:p>
                  <w:pPr>
                    <w:jc w:val="center"/>
                    <w:rPr>
                      <w:szCs w:val="21"/>
                    </w:rPr>
                  </w:pPr>
                  <w:r>
                    <w:rPr>
                      <w:szCs w:val="21"/>
                    </w:rPr>
                    <w:t>5</w:t>
                  </w:r>
                </w:p>
              </w:tc>
              <w:tc>
                <w:tcPr>
                  <w:tcW w:w="4363" w:type="dxa"/>
                  <w:vAlign w:val="center"/>
                </w:tcPr>
                <w:p>
                  <w:pPr>
                    <w:jc w:val="center"/>
                    <w:rPr>
                      <w:szCs w:val="21"/>
                    </w:rPr>
                  </w:pPr>
                  <w:r>
                    <w:rPr>
                      <w:szCs w:val="21"/>
                    </w:rPr>
                    <w:t>严防固体废物污染土壤。全面整治产生固体废物的堆存场所。规范工业固废源头分类收集、贮存和处理处置活动，逐步建立全州工业固体废物综合利用与处置体系。进一步规范电子废物拆解、废轮胎、废塑料、废旧家电等的回收处理和资源化利用。鼓励企业采用先进或者适用的回收技术、工艺和设备，对生产过程中产生的工业固废进行综合利用。</w:t>
                  </w:r>
                </w:p>
              </w:tc>
              <w:tc>
                <w:tcPr>
                  <w:tcW w:w="2437" w:type="dxa"/>
                  <w:vAlign w:val="center"/>
                </w:tcPr>
                <w:p>
                  <w:pPr>
                    <w:jc w:val="center"/>
                    <w:rPr>
                      <w:szCs w:val="21"/>
                    </w:rPr>
                  </w:pPr>
                  <w:r>
                    <w:rPr>
                      <w:szCs w:val="21"/>
                    </w:rPr>
                    <w:t>根据项目原辅材料及产品分析，主要土壤环境风险物资为矿物油（包括柴油、导热油、废润滑油等），环评提出：</w:t>
                  </w:r>
                  <w:r>
                    <w:t>柴油储罐区设置围堰、危险废物暂存间设置防渗托盘和围堰，并采取相应的防渗措施后可有效降低土壤环境风险，</w:t>
                  </w:r>
                  <w:r>
                    <w:rPr>
                      <w:szCs w:val="21"/>
                    </w:rPr>
                    <w:t>土壤污染途径可被切断，不会对土壤环境风险防控底线造成冲击。</w:t>
                  </w:r>
                </w:p>
              </w:tc>
              <w:tc>
                <w:tcPr>
                  <w:tcW w:w="667" w:type="dxa"/>
                  <w:vAlign w:val="center"/>
                </w:tcPr>
                <w:p>
                  <w:pPr>
                    <w:jc w:val="center"/>
                    <w:rPr>
                      <w:szCs w:val="21"/>
                    </w:rPr>
                  </w:pPr>
                  <w:r>
                    <w:rPr>
                      <w:szCs w:val="21"/>
                    </w:rPr>
                    <w:t>符合</w:t>
                  </w:r>
                </w:p>
              </w:tc>
            </w:tr>
          </w:tbl>
          <w:p>
            <w:pPr>
              <w:autoSpaceDE w:val="0"/>
              <w:autoSpaceDN w:val="0"/>
              <w:adjustRightInd w:val="0"/>
              <w:spacing w:line="360" w:lineRule="auto"/>
              <w:ind w:firstLine="480" w:firstLineChars="200"/>
              <w:rPr>
                <w:sz w:val="24"/>
                <w:shd w:val="clear" w:color="auto" w:fill="FFFFFF" w:themeFill="background1"/>
              </w:rPr>
            </w:pPr>
            <w:r>
              <w:rPr>
                <w:sz w:val="24"/>
                <w:shd w:val="clear" w:color="auto" w:fill="FFFFFF" w:themeFill="background1"/>
              </w:rPr>
              <w:t>综上，项目建设符合《大理州“十四五”生态环境保护规划》的相关要求。</w:t>
            </w:r>
          </w:p>
          <w:p>
            <w:pPr>
              <w:pStyle w:val="108"/>
              <w:rPr>
                <w:color w:val="auto"/>
                <w:sz w:val="24"/>
              </w:rPr>
            </w:pPr>
            <w:r>
              <w:rPr>
                <w:color w:val="auto"/>
                <w:sz w:val="24"/>
              </w:rPr>
              <w:t>5、与《中华人民共和国大气污染防治法》（2018年修订）符合性分析</w:t>
            </w:r>
          </w:p>
          <w:p>
            <w:pPr>
              <w:pStyle w:val="122"/>
              <w:ind w:firstLine="422"/>
              <w:rPr>
                <w:b/>
                <w:bCs/>
                <w:sz w:val="21"/>
                <w:lang w:val="en-US"/>
              </w:rPr>
            </w:pPr>
            <w:r>
              <w:rPr>
                <w:b/>
                <w:bCs/>
                <w:sz w:val="21"/>
                <w:lang w:val="en-US"/>
              </w:rPr>
              <w:t>表1-6   项目与《中华人民共和国大气污染防治法》符合性分析一览表</w:t>
            </w:r>
          </w:p>
          <w:tbl>
            <w:tblPr>
              <w:tblStyle w:val="28"/>
              <w:tblW w:w="7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3580"/>
              <w:gridCol w:w="3149"/>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shd w:val="clear" w:color="auto" w:fill="auto"/>
                  <w:vAlign w:val="center"/>
                </w:tcPr>
                <w:p>
                  <w:pPr>
                    <w:pStyle w:val="146"/>
                    <w:rPr>
                      <w:b w:val="0"/>
                      <w:color w:val="auto"/>
                      <w:sz w:val="21"/>
                      <w:szCs w:val="21"/>
                    </w:rPr>
                  </w:pPr>
                  <w:r>
                    <w:rPr>
                      <w:b w:val="0"/>
                      <w:color w:val="auto"/>
                      <w:sz w:val="21"/>
                      <w:szCs w:val="21"/>
                    </w:rPr>
                    <w:t>序号</w:t>
                  </w:r>
                </w:p>
              </w:tc>
              <w:tc>
                <w:tcPr>
                  <w:tcW w:w="3580" w:type="dxa"/>
                  <w:shd w:val="clear" w:color="auto" w:fill="auto"/>
                  <w:vAlign w:val="center"/>
                </w:tcPr>
                <w:p>
                  <w:pPr>
                    <w:pStyle w:val="146"/>
                    <w:rPr>
                      <w:b w:val="0"/>
                      <w:color w:val="auto"/>
                      <w:sz w:val="21"/>
                      <w:szCs w:val="21"/>
                    </w:rPr>
                  </w:pPr>
                  <w:r>
                    <w:rPr>
                      <w:b w:val="0"/>
                      <w:color w:val="auto"/>
                      <w:sz w:val="21"/>
                      <w:szCs w:val="21"/>
                    </w:rPr>
                    <w:t>相关要求</w:t>
                  </w:r>
                </w:p>
              </w:tc>
              <w:tc>
                <w:tcPr>
                  <w:tcW w:w="3149" w:type="dxa"/>
                  <w:shd w:val="clear" w:color="auto" w:fill="auto"/>
                  <w:vAlign w:val="center"/>
                </w:tcPr>
                <w:p>
                  <w:pPr>
                    <w:pStyle w:val="146"/>
                    <w:rPr>
                      <w:b w:val="0"/>
                      <w:color w:val="auto"/>
                      <w:sz w:val="21"/>
                      <w:szCs w:val="21"/>
                    </w:rPr>
                  </w:pPr>
                  <w:r>
                    <w:rPr>
                      <w:b w:val="0"/>
                      <w:color w:val="auto"/>
                      <w:sz w:val="21"/>
                      <w:szCs w:val="21"/>
                    </w:rPr>
                    <w:t>本项目情况</w:t>
                  </w:r>
                </w:p>
              </w:tc>
              <w:tc>
                <w:tcPr>
                  <w:tcW w:w="671" w:type="dxa"/>
                  <w:shd w:val="clear" w:color="auto" w:fill="auto"/>
                  <w:vAlign w:val="center"/>
                </w:tcPr>
                <w:p>
                  <w:pPr>
                    <w:pStyle w:val="146"/>
                    <w:rPr>
                      <w:b w:val="0"/>
                      <w:color w:val="auto"/>
                      <w:sz w:val="21"/>
                      <w:szCs w:val="21"/>
                    </w:rPr>
                  </w:pPr>
                  <w:r>
                    <w:rPr>
                      <w:b w:val="0"/>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shd w:val="clear" w:color="auto" w:fill="auto"/>
                  <w:vAlign w:val="center"/>
                </w:tcPr>
                <w:p>
                  <w:pPr>
                    <w:pStyle w:val="146"/>
                    <w:rPr>
                      <w:b w:val="0"/>
                      <w:color w:val="auto"/>
                      <w:sz w:val="21"/>
                      <w:szCs w:val="21"/>
                    </w:rPr>
                  </w:pPr>
                  <w:r>
                    <w:rPr>
                      <w:b w:val="0"/>
                      <w:color w:val="auto"/>
                      <w:sz w:val="21"/>
                      <w:szCs w:val="21"/>
                    </w:rPr>
                    <w:t>1</w:t>
                  </w:r>
                </w:p>
              </w:tc>
              <w:tc>
                <w:tcPr>
                  <w:tcW w:w="3580" w:type="dxa"/>
                  <w:shd w:val="clear" w:color="auto" w:fill="auto"/>
                  <w:vAlign w:val="center"/>
                </w:tcPr>
                <w:p>
                  <w:pPr>
                    <w:pStyle w:val="146"/>
                    <w:rPr>
                      <w:b w:val="0"/>
                      <w:color w:val="auto"/>
                      <w:sz w:val="21"/>
                      <w:szCs w:val="21"/>
                    </w:rPr>
                  </w:pPr>
                  <w:r>
                    <w:rPr>
                      <w:b w:val="0"/>
                      <w:color w:val="auto"/>
                      <w:sz w:val="21"/>
                      <w:szCs w:val="21"/>
                    </w:rPr>
                    <w:t>第三十二条 国务院有关部门和地方各级人民政府应当采取措施，调整能源结构，推广清洁能源的生产和使用；优化煤炭使用方式，推广煤炭清洁高效利用，逐步降低煤炭在一次能源消费中的比重，减少煤炭生产、使</w:t>
                  </w:r>
                  <w:r>
                    <w:rPr>
                      <w:b w:val="0"/>
                      <w:color w:val="auto"/>
                      <w:sz w:val="21"/>
                      <w:szCs w:val="21"/>
                    </w:rPr>
                    <w:cr/>
                  </w:r>
                  <w:r>
                    <w:rPr>
                      <w:b w:val="0"/>
                      <w:color w:val="auto"/>
                      <w:sz w:val="21"/>
                      <w:szCs w:val="21"/>
                    </w:rPr>
                    <w:t>、转化过程中的大气污染物排放。</w:t>
                  </w:r>
                </w:p>
              </w:tc>
              <w:tc>
                <w:tcPr>
                  <w:tcW w:w="3149" w:type="dxa"/>
                  <w:shd w:val="clear" w:color="auto" w:fill="auto"/>
                  <w:vAlign w:val="center"/>
                </w:tcPr>
                <w:p>
                  <w:pPr>
                    <w:pStyle w:val="146"/>
                    <w:rPr>
                      <w:b w:val="0"/>
                      <w:color w:val="auto"/>
                      <w:sz w:val="21"/>
                      <w:szCs w:val="21"/>
                    </w:rPr>
                  </w:pPr>
                  <w:r>
                    <w:rPr>
                      <w:b w:val="0"/>
                      <w:color w:val="auto"/>
                      <w:sz w:val="21"/>
                      <w:szCs w:val="21"/>
                    </w:rPr>
                    <w:t>本项目供能方式为电能和柴油供热，不使用燃煤供热。</w:t>
                  </w:r>
                </w:p>
              </w:tc>
              <w:tc>
                <w:tcPr>
                  <w:tcW w:w="671" w:type="dxa"/>
                  <w:shd w:val="clear" w:color="auto" w:fill="auto"/>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shd w:val="clear" w:color="auto" w:fill="auto"/>
                  <w:vAlign w:val="center"/>
                </w:tcPr>
                <w:p>
                  <w:pPr>
                    <w:pStyle w:val="146"/>
                    <w:rPr>
                      <w:b w:val="0"/>
                      <w:color w:val="auto"/>
                      <w:sz w:val="21"/>
                      <w:szCs w:val="21"/>
                    </w:rPr>
                  </w:pPr>
                  <w:r>
                    <w:rPr>
                      <w:b w:val="0"/>
                      <w:color w:val="auto"/>
                      <w:sz w:val="21"/>
                      <w:szCs w:val="21"/>
                    </w:rPr>
                    <w:t>2</w:t>
                  </w:r>
                </w:p>
              </w:tc>
              <w:tc>
                <w:tcPr>
                  <w:tcW w:w="3580" w:type="dxa"/>
                  <w:shd w:val="clear" w:color="auto" w:fill="auto"/>
                  <w:vAlign w:val="center"/>
                </w:tcPr>
                <w:p>
                  <w:pPr>
                    <w:pStyle w:val="146"/>
                    <w:rPr>
                      <w:b w:val="0"/>
                      <w:color w:val="auto"/>
                      <w:sz w:val="21"/>
                      <w:szCs w:val="21"/>
                    </w:rPr>
                  </w:pPr>
                  <w:r>
                    <w:rPr>
                      <w:b w:val="0"/>
                      <w:color w:val="auto"/>
                      <w:sz w:val="21"/>
                      <w:szCs w:val="21"/>
                    </w:rPr>
                    <w:t>第四十五条 产生含挥发性有机物废气的生产和服务活动，应当在密闭空间或者设备中进行，并按照规定安装、使用污染防治设施；无法密闭的，应当采取措施减少废气排放。</w:t>
                  </w:r>
                </w:p>
              </w:tc>
              <w:tc>
                <w:tcPr>
                  <w:tcW w:w="3149" w:type="dxa"/>
                  <w:shd w:val="clear" w:color="auto" w:fill="auto"/>
                  <w:vAlign w:val="center"/>
                </w:tcPr>
                <w:p>
                  <w:pPr>
                    <w:pStyle w:val="146"/>
                    <w:rPr>
                      <w:b w:val="0"/>
                      <w:color w:val="auto"/>
                      <w:sz w:val="21"/>
                      <w:szCs w:val="21"/>
                    </w:rPr>
                  </w:pPr>
                  <w:r>
                    <w:rPr>
                      <w:b w:val="0"/>
                      <w:color w:val="auto"/>
                      <w:sz w:val="21"/>
                      <w:szCs w:val="21"/>
                    </w:rPr>
                    <w:t>根据现场调查，运营期涉及石油沥青的存储和使用，项目沥青储罐、输送管道以及搅拌缸均为封闭结构。搅拌缸卸料口沥青烟气经集气罩收集后和沥青储存罐呼吸孔排放的挥发性有机废气（以非甲烷总烃计）一起通过管道引至“喷淋塔+活性炭吸附箱”处理后通过15高排气筒DA002有组织排放，可有效减少挥发性有机物的排放。</w:t>
                  </w:r>
                </w:p>
              </w:tc>
              <w:tc>
                <w:tcPr>
                  <w:tcW w:w="671" w:type="dxa"/>
                  <w:shd w:val="clear" w:color="auto" w:fill="auto"/>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shd w:val="clear" w:color="auto" w:fill="auto"/>
                  <w:vAlign w:val="center"/>
                </w:tcPr>
                <w:p>
                  <w:pPr>
                    <w:pStyle w:val="146"/>
                    <w:rPr>
                      <w:b w:val="0"/>
                      <w:color w:val="auto"/>
                      <w:sz w:val="21"/>
                      <w:szCs w:val="21"/>
                    </w:rPr>
                  </w:pPr>
                  <w:r>
                    <w:rPr>
                      <w:b w:val="0"/>
                      <w:color w:val="auto"/>
                      <w:sz w:val="21"/>
                      <w:szCs w:val="21"/>
                    </w:rPr>
                    <w:t>3</w:t>
                  </w:r>
                </w:p>
              </w:tc>
              <w:tc>
                <w:tcPr>
                  <w:tcW w:w="3580" w:type="dxa"/>
                  <w:shd w:val="clear" w:color="auto" w:fill="auto"/>
                  <w:vAlign w:val="center"/>
                </w:tcPr>
                <w:p>
                  <w:pPr>
                    <w:pStyle w:val="146"/>
                    <w:rPr>
                      <w:b w:val="0"/>
                      <w:color w:val="auto"/>
                      <w:sz w:val="21"/>
                      <w:szCs w:val="21"/>
                    </w:rPr>
                  </w:pPr>
                  <w:r>
                    <w:rPr>
                      <w:b w:val="0"/>
                      <w:color w:val="auto"/>
                      <w:sz w:val="21"/>
                      <w:szCs w:val="21"/>
                    </w:rPr>
                    <w:t>第四十八条 钢铁、建材、有色金属、石油、化工、制药、矿产开采等企业，应当加强精细化管理，采取集中收集处理等措施，严格控制粉尘和气态污染物的排放。工业生产企业应当采取密闭、围挡、遮盖、清扫、洒水等措施，减少内部物料的堆存、传输、装卸等环节产生的粉尘和气态污染物的排放。</w:t>
                  </w:r>
                </w:p>
              </w:tc>
              <w:tc>
                <w:tcPr>
                  <w:tcW w:w="3149" w:type="dxa"/>
                  <w:shd w:val="clear" w:color="auto" w:fill="auto"/>
                  <w:vAlign w:val="center"/>
                </w:tcPr>
                <w:p>
                  <w:pPr>
                    <w:pStyle w:val="146"/>
                    <w:rPr>
                      <w:b w:val="0"/>
                      <w:color w:val="auto"/>
                      <w:sz w:val="21"/>
                      <w:szCs w:val="21"/>
                    </w:rPr>
                  </w:pPr>
                  <w:r>
                    <w:rPr>
                      <w:b w:val="0"/>
                      <w:color w:val="auto"/>
                      <w:sz w:val="21"/>
                      <w:szCs w:val="21"/>
                    </w:rPr>
                    <w:t>本项目运营期对皮带给料器（料斗）进行三面封闭，并设置喷淋装置、皮带输送机加装防尘罩，采取上述措施后可有效控制扬尘产生。</w:t>
                  </w:r>
                </w:p>
              </w:tc>
              <w:tc>
                <w:tcPr>
                  <w:tcW w:w="671" w:type="dxa"/>
                  <w:shd w:val="clear" w:color="auto" w:fill="auto"/>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shd w:val="clear" w:color="auto" w:fill="auto"/>
                  <w:vAlign w:val="center"/>
                </w:tcPr>
                <w:p>
                  <w:pPr>
                    <w:pStyle w:val="146"/>
                    <w:rPr>
                      <w:b w:val="0"/>
                      <w:color w:val="auto"/>
                      <w:sz w:val="21"/>
                      <w:szCs w:val="21"/>
                    </w:rPr>
                  </w:pPr>
                  <w:r>
                    <w:rPr>
                      <w:b w:val="0"/>
                      <w:color w:val="auto"/>
                      <w:sz w:val="21"/>
                      <w:szCs w:val="21"/>
                    </w:rPr>
                    <w:t>4</w:t>
                  </w:r>
                </w:p>
              </w:tc>
              <w:tc>
                <w:tcPr>
                  <w:tcW w:w="3580" w:type="dxa"/>
                  <w:shd w:val="clear" w:color="auto" w:fill="auto"/>
                  <w:vAlign w:val="center"/>
                </w:tcPr>
                <w:p>
                  <w:pPr>
                    <w:pStyle w:val="146"/>
                    <w:rPr>
                      <w:b w:val="0"/>
                      <w:color w:val="auto"/>
                      <w:sz w:val="21"/>
                      <w:szCs w:val="21"/>
                    </w:rPr>
                  </w:pPr>
                  <w:r>
                    <w:rPr>
                      <w:b w:val="0"/>
                      <w:color w:val="auto"/>
                      <w:sz w:val="21"/>
                      <w:szCs w:val="21"/>
                    </w:rPr>
                    <w:t>第七十条 运输煤炭、垃圾、渣土、砂石、土方、灰浆等散装、流体物料的车辆应当采取密闭或者其他措施防止物料遗撒造成扬尘污染，并按照规定路线行驶。装卸物料应当采取密闭或者喷淋等方式防治扬尘污染。</w:t>
                  </w:r>
                </w:p>
              </w:tc>
              <w:tc>
                <w:tcPr>
                  <w:tcW w:w="3149" w:type="dxa"/>
                  <w:shd w:val="clear" w:color="auto" w:fill="auto"/>
                  <w:vAlign w:val="center"/>
                </w:tcPr>
                <w:p>
                  <w:pPr>
                    <w:pStyle w:val="146"/>
                    <w:rPr>
                      <w:b w:val="0"/>
                      <w:color w:val="auto"/>
                      <w:sz w:val="21"/>
                      <w:szCs w:val="21"/>
                    </w:rPr>
                  </w:pPr>
                  <w:r>
                    <w:rPr>
                      <w:b w:val="0"/>
                      <w:color w:val="auto"/>
                      <w:sz w:val="21"/>
                      <w:szCs w:val="21"/>
                    </w:rPr>
                    <w:t>本次评价提出运营期物料运输车辆采用篷布遮盖；皮带给料器（料斗）进行三面封闭，并设置喷淋装置，装卸物料过程中进行洒水降尘。</w:t>
                  </w:r>
                </w:p>
              </w:tc>
              <w:tc>
                <w:tcPr>
                  <w:tcW w:w="671" w:type="dxa"/>
                  <w:shd w:val="clear" w:color="auto" w:fill="auto"/>
                  <w:vAlign w:val="center"/>
                </w:tcPr>
                <w:p>
                  <w:pPr>
                    <w:pStyle w:val="146"/>
                    <w:rPr>
                      <w:b w:val="0"/>
                      <w:color w:val="auto"/>
                      <w:sz w:val="21"/>
                      <w:szCs w:val="21"/>
                    </w:rPr>
                  </w:pPr>
                  <w:r>
                    <w:rPr>
                      <w:b w:val="0"/>
                      <w:color w:val="auto"/>
                      <w:sz w:val="21"/>
                      <w:szCs w:val="21"/>
                    </w:rPr>
                    <w:t>符合</w:t>
                  </w:r>
                </w:p>
              </w:tc>
            </w:tr>
          </w:tbl>
          <w:p>
            <w:pPr>
              <w:pStyle w:val="147"/>
            </w:pPr>
            <w:r>
              <w:t>综上所属，本项目建设符合《中华人民共和国大气污染防治法》的相关要求。</w:t>
            </w:r>
          </w:p>
          <w:p>
            <w:pPr>
              <w:pStyle w:val="108"/>
              <w:rPr>
                <w:color w:val="auto"/>
                <w:sz w:val="24"/>
              </w:rPr>
            </w:pPr>
            <w:r>
              <w:rPr>
                <w:color w:val="auto"/>
                <w:sz w:val="24"/>
              </w:rPr>
              <w:t>6、</w:t>
            </w:r>
            <w:bookmarkStart w:id="7" w:name="_Toc26297"/>
            <w:r>
              <w:rPr>
                <w:color w:val="auto"/>
                <w:sz w:val="24"/>
              </w:rPr>
              <w:t>与《云南省重点行业挥发性有机物综合治理实施方案》符合性分析</w:t>
            </w:r>
          </w:p>
          <w:p>
            <w:pPr>
              <w:pStyle w:val="147"/>
            </w:pPr>
            <w:r>
              <w:t>2019年9月4日，云南省生态环境厅印发了《云南省重点行业挥发性有机物综合治理实施方案》（云环通〔2019〕125号）。项目与《云南省重点行业挥发性有机物综合治理实施方案》的相符性分析见表1-7。</w:t>
            </w:r>
          </w:p>
          <w:p>
            <w:pPr>
              <w:pStyle w:val="151"/>
              <w:rPr>
                <w:color w:val="auto"/>
              </w:rPr>
            </w:pPr>
            <w:r>
              <w:rPr>
                <w:color w:val="auto"/>
              </w:rPr>
              <w:t>表1-7   项目与《云南省重点行业挥发性有机物综合治理实施方案》的相符性分析</w:t>
            </w:r>
          </w:p>
          <w:tbl>
            <w:tblPr>
              <w:tblStyle w:val="28"/>
              <w:tblW w:w="7894"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682"/>
              <w:gridCol w:w="2495"/>
              <w:gridCol w:w="71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4682" w:type="dxa"/>
                  <w:tcBorders>
                    <w:tl2br w:val="nil"/>
                    <w:tr2bl w:val="nil"/>
                  </w:tcBorders>
                  <w:vAlign w:val="center"/>
                </w:tcPr>
                <w:p>
                  <w:pPr>
                    <w:pStyle w:val="146"/>
                    <w:rPr>
                      <w:b w:val="0"/>
                      <w:color w:val="auto"/>
                      <w:sz w:val="21"/>
                      <w:szCs w:val="21"/>
                    </w:rPr>
                  </w:pPr>
                  <w:r>
                    <w:rPr>
                      <w:b w:val="0"/>
                      <w:color w:val="auto"/>
                      <w:sz w:val="21"/>
                      <w:szCs w:val="21"/>
                    </w:rPr>
                    <w:t>《云南省重点行业挥发性</w:t>
                  </w:r>
                  <w:r>
                    <w:rPr>
                      <w:b w:val="0"/>
                      <w:color w:val="auto"/>
                      <w:sz w:val="21"/>
                      <w:szCs w:val="21"/>
                    </w:rPr>
                    <w:cr/>
                  </w:r>
                  <w:r>
                    <w:rPr>
                      <w:b w:val="0"/>
                      <w:color w:val="auto"/>
                      <w:sz w:val="21"/>
                      <w:szCs w:val="21"/>
                    </w:rPr>
                    <w:t>机物综合治理实施方案》</w:t>
                  </w:r>
                </w:p>
              </w:tc>
              <w:tc>
                <w:tcPr>
                  <w:tcW w:w="2495" w:type="dxa"/>
                  <w:tcBorders>
                    <w:tl2br w:val="nil"/>
                    <w:tr2bl w:val="nil"/>
                  </w:tcBorders>
                  <w:vAlign w:val="center"/>
                </w:tcPr>
                <w:p>
                  <w:pPr>
                    <w:pStyle w:val="146"/>
                    <w:rPr>
                      <w:b w:val="0"/>
                      <w:color w:val="auto"/>
                      <w:sz w:val="21"/>
                      <w:szCs w:val="21"/>
                    </w:rPr>
                  </w:pPr>
                  <w:r>
                    <w:rPr>
                      <w:b w:val="0"/>
                      <w:color w:val="auto"/>
                      <w:sz w:val="21"/>
                      <w:szCs w:val="21"/>
                    </w:rPr>
                    <w:t>本项目</w:t>
                  </w:r>
                </w:p>
              </w:tc>
              <w:tc>
                <w:tcPr>
                  <w:tcW w:w="717" w:type="dxa"/>
                  <w:tcBorders>
                    <w:tl2br w:val="nil"/>
                    <w:tr2bl w:val="nil"/>
                  </w:tcBorders>
                  <w:vAlign w:val="center"/>
                </w:tcPr>
                <w:p>
                  <w:pPr>
                    <w:pStyle w:val="146"/>
                    <w:rPr>
                      <w:b w:val="0"/>
                      <w:color w:val="auto"/>
                      <w:sz w:val="21"/>
                      <w:szCs w:val="21"/>
                    </w:rPr>
                  </w:pPr>
                  <w:r>
                    <w:rPr>
                      <w:b w:val="0"/>
                      <w:color w:val="auto"/>
                      <w:sz w:val="21"/>
                      <w:szCs w:val="21"/>
                    </w:rPr>
                    <w:t>相符性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4682" w:type="dxa"/>
                  <w:tcBorders>
                    <w:tl2br w:val="nil"/>
                    <w:tr2bl w:val="nil"/>
                  </w:tcBorders>
                  <w:vAlign w:val="center"/>
                </w:tcPr>
                <w:p>
                  <w:pPr>
                    <w:pStyle w:val="146"/>
                    <w:rPr>
                      <w:b w:val="0"/>
                      <w:color w:val="auto"/>
                      <w:sz w:val="21"/>
                      <w:szCs w:val="21"/>
                    </w:rPr>
                  </w:pPr>
                  <w:r>
                    <w:rPr>
                      <w:b w:val="0"/>
                      <w:color w:val="auto"/>
                      <w:sz w:val="21"/>
                      <w:szCs w:val="21"/>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495" w:type="dxa"/>
                  <w:vMerge w:val="restart"/>
                  <w:tcBorders>
                    <w:tl2br w:val="nil"/>
                    <w:tr2bl w:val="nil"/>
                  </w:tcBorders>
                  <w:vAlign w:val="center"/>
                </w:tcPr>
                <w:p>
                  <w:pPr>
                    <w:pStyle w:val="146"/>
                    <w:rPr>
                      <w:b w:val="0"/>
                      <w:color w:val="auto"/>
                      <w:sz w:val="21"/>
                      <w:szCs w:val="21"/>
                    </w:rPr>
                  </w:pPr>
                  <w:r>
                    <w:rPr>
                      <w:b w:val="0"/>
                      <w:color w:val="auto"/>
                      <w:sz w:val="21"/>
                      <w:szCs w:val="21"/>
                    </w:rPr>
                    <w:t>本项目运营期对皮带给料器（料斗）进行三面封闭，并设置喷淋装置、皮带输送机加装防尘罩，采取上述措施后可有效控制扬尘产生。炒料工序废气经两级除尘系统（重力除尘和大气反吹式布袋除尘器结合）处理后经15m高排气筒DA001进行有组织排放，风机额定风量45000m³/h。沥青烟气收集经“喷淋塔+活性炭吸附箱”处理后通过15高排气筒DA002进行有组织排放，风机额定风量15000m³/h。项目采取上述措施后有效减少有机废气无组织排放。</w:t>
                  </w:r>
                </w:p>
              </w:tc>
              <w:tc>
                <w:tcPr>
                  <w:tcW w:w="717" w:type="dxa"/>
                  <w:tcBorders>
                    <w:tl2br w:val="nil"/>
                    <w:tr2bl w:val="nil"/>
                  </w:tcBorders>
                  <w:vAlign w:val="center"/>
                </w:tcPr>
                <w:p>
                  <w:pPr>
                    <w:pStyle w:val="146"/>
                    <w:rPr>
                      <w:b w:val="0"/>
                      <w:color w:val="auto"/>
                      <w:sz w:val="21"/>
                      <w:szCs w:val="21"/>
                    </w:rPr>
                  </w:pPr>
                  <w:r>
                    <w:rPr>
                      <w:b w:val="0"/>
                      <w:color w:val="auto"/>
                      <w:sz w:val="21"/>
                      <w:szCs w:val="21"/>
                    </w:rPr>
                    <w:t>相</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c>
                <w:tcPr>
                  <w:tcW w:w="4682" w:type="dxa"/>
                  <w:tcBorders>
                    <w:tl2br w:val="nil"/>
                    <w:tr2bl w:val="nil"/>
                  </w:tcBorders>
                  <w:vAlign w:val="center"/>
                </w:tcPr>
                <w:p>
                  <w:pPr>
                    <w:pStyle w:val="146"/>
                    <w:rPr>
                      <w:b w:val="0"/>
                      <w:color w:val="auto"/>
                      <w:sz w:val="21"/>
                      <w:szCs w:val="21"/>
                    </w:rPr>
                  </w:pPr>
                  <w:r>
                    <w:rPr>
                      <w:b w:val="0"/>
                      <w:color w:val="auto"/>
                      <w:sz w:val="21"/>
                      <w:szCs w:val="21"/>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2495" w:type="dxa"/>
                  <w:vMerge w:val="continue"/>
                  <w:tcBorders>
                    <w:tl2br w:val="nil"/>
                    <w:tr2bl w:val="nil"/>
                  </w:tcBorders>
                  <w:vAlign w:val="center"/>
                </w:tcPr>
                <w:p>
                  <w:pPr>
                    <w:pStyle w:val="146"/>
                    <w:rPr>
                      <w:b w:val="0"/>
                      <w:color w:val="auto"/>
                      <w:sz w:val="21"/>
                      <w:szCs w:val="21"/>
                    </w:rPr>
                  </w:pPr>
                </w:p>
              </w:tc>
              <w:tc>
                <w:tcPr>
                  <w:tcW w:w="717" w:type="dxa"/>
                  <w:tcBorders>
                    <w:tl2br w:val="nil"/>
                    <w:tr2bl w:val="nil"/>
                  </w:tcBorders>
                  <w:vAlign w:val="center"/>
                </w:tcPr>
                <w:p>
                  <w:pPr>
                    <w:pStyle w:val="146"/>
                    <w:rPr>
                      <w:b w:val="0"/>
                      <w:color w:val="auto"/>
                      <w:sz w:val="21"/>
                      <w:szCs w:val="21"/>
                    </w:rPr>
                  </w:pPr>
                  <w:r>
                    <w:rPr>
                      <w:b w:val="0"/>
                      <w:color w:val="auto"/>
                      <w:sz w:val="21"/>
                      <w:szCs w:val="21"/>
                    </w:rPr>
                    <w:t>相符</w:t>
                  </w:r>
                </w:p>
              </w:tc>
            </w:tr>
          </w:tbl>
          <w:p>
            <w:pPr>
              <w:pStyle w:val="147"/>
            </w:pPr>
            <w:r>
              <w:t>综上所述，项目与《云南省重点行业挥发性有机物综合治理实施方案》（云环通〔2019〕125号）相符。</w:t>
            </w:r>
          </w:p>
          <w:p>
            <w:pPr>
              <w:pStyle w:val="108"/>
              <w:rPr>
                <w:color w:val="auto"/>
                <w:sz w:val="24"/>
                <w:lang w:bidi="ar"/>
              </w:rPr>
            </w:pPr>
            <w:r>
              <w:rPr>
                <w:color w:val="auto"/>
                <w:sz w:val="24"/>
                <w:lang w:bidi="ar"/>
              </w:rPr>
              <w:t>7、</w:t>
            </w:r>
            <w:bookmarkEnd w:id="7"/>
            <w:r>
              <w:rPr>
                <w:color w:val="auto"/>
                <w:sz w:val="24"/>
                <w:lang w:bidi="ar"/>
              </w:rPr>
              <w:t>与《挥发性有机物污染防治技术政策》符合性分析</w:t>
            </w:r>
          </w:p>
          <w:p>
            <w:pPr>
              <w:pStyle w:val="147"/>
            </w:pPr>
            <w:r>
              <w:t>项目与《挥发性有机物污染防治技术政策》相符性分析见下表。</w:t>
            </w:r>
          </w:p>
          <w:p>
            <w:pPr>
              <w:pStyle w:val="151"/>
              <w:rPr>
                <w:color w:val="auto"/>
              </w:rPr>
            </w:pPr>
            <w:r>
              <w:rPr>
                <w:color w:val="auto"/>
              </w:rPr>
              <w:t xml:space="preserve">表1-8   </w:t>
            </w:r>
            <w:r>
              <w:rPr>
                <w:color w:val="auto"/>
                <w:kern w:val="0"/>
              </w:rPr>
              <w:t>与</w:t>
            </w:r>
            <w:r>
              <w:rPr>
                <w:color w:val="auto"/>
              </w:rPr>
              <w:t>《挥发性有机物污染防治技术政策》符合性分析</w:t>
            </w:r>
          </w:p>
          <w:tbl>
            <w:tblPr>
              <w:tblStyle w:val="28"/>
              <w:tblW w:w="7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89"/>
              <w:gridCol w:w="3081"/>
              <w:gridCol w:w="330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427" w:type="dxa"/>
                  <w:vAlign w:val="center"/>
                </w:tcPr>
                <w:p>
                  <w:pPr>
                    <w:pStyle w:val="146"/>
                    <w:rPr>
                      <w:b w:val="0"/>
                      <w:color w:val="auto"/>
                      <w:sz w:val="21"/>
                      <w:szCs w:val="21"/>
                    </w:rPr>
                  </w:pPr>
                  <w:r>
                    <w:rPr>
                      <w:b w:val="0"/>
                      <w:color w:val="auto"/>
                      <w:sz w:val="21"/>
                      <w:szCs w:val="21"/>
                    </w:rPr>
                    <w:t>序号</w:t>
                  </w:r>
                </w:p>
              </w:tc>
              <w:tc>
                <w:tcPr>
                  <w:tcW w:w="3570" w:type="dxa"/>
                  <w:gridSpan w:val="2"/>
                  <w:vAlign w:val="center"/>
                </w:tcPr>
                <w:p>
                  <w:pPr>
                    <w:pStyle w:val="146"/>
                    <w:rPr>
                      <w:b w:val="0"/>
                      <w:color w:val="auto"/>
                      <w:sz w:val="21"/>
                      <w:szCs w:val="21"/>
                    </w:rPr>
                  </w:pPr>
                  <w:r>
                    <w:rPr>
                      <w:b w:val="0"/>
                      <w:color w:val="auto"/>
                      <w:sz w:val="21"/>
                      <w:szCs w:val="21"/>
                      <w:lang w:bidi="ar"/>
                    </w:rPr>
                    <w:t>《挥发性有机物污染防治技术政策》内容如下</w:t>
                  </w:r>
                </w:p>
              </w:tc>
              <w:tc>
                <w:tcPr>
                  <w:tcW w:w="3303" w:type="dxa"/>
                  <w:vAlign w:val="center"/>
                </w:tcPr>
                <w:p>
                  <w:pPr>
                    <w:pStyle w:val="146"/>
                    <w:rPr>
                      <w:b w:val="0"/>
                      <w:color w:val="auto"/>
                      <w:sz w:val="21"/>
                      <w:szCs w:val="21"/>
                    </w:rPr>
                  </w:pPr>
                  <w:r>
                    <w:rPr>
                      <w:b w:val="0"/>
                      <w:color w:val="auto"/>
                      <w:sz w:val="21"/>
                      <w:szCs w:val="21"/>
                    </w:rPr>
                    <w:t>该项目情况</w:t>
                  </w:r>
                </w:p>
              </w:tc>
              <w:tc>
                <w:tcPr>
                  <w:tcW w:w="683" w:type="dxa"/>
                  <w:vAlign w:val="center"/>
                </w:tcPr>
                <w:p>
                  <w:pPr>
                    <w:pStyle w:val="146"/>
                    <w:rPr>
                      <w:b w:val="0"/>
                      <w:color w:val="auto"/>
                      <w:sz w:val="21"/>
                      <w:szCs w:val="21"/>
                    </w:rPr>
                  </w:pPr>
                  <w:r>
                    <w:rPr>
                      <w:b w:val="0"/>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427" w:type="dxa"/>
                  <w:vAlign w:val="center"/>
                </w:tcPr>
                <w:p>
                  <w:pPr>
                    <w:pStyle w:val="146"/>
                    <w:rPr>
                      <w:b w:val="0"/>
                      <w:color w:val="auto"/>
                      <w:sz w:val="21"/>
                      <w:szCs w:val="21"/>
                    </w:rPr>
                  </w:pPr>
                  <w:r>
                    <w:rPr>
                      <w:b w:val="0"/>
                      <w:color w:val="auto"/>
                      <w:sz w:val="21"/>
                      <w:szCs w:val="21"/>
                    </w:rPr>
                    <w:t>1</w:t>
                  </w:r>
                </w:p>
              </w:tc>
              <w:tc>
                <w:tcPr>
                  <w:tcW w:w="489" w:type="dxa"/>
                  <w:vMerge w:val="restart"/>
                  <w:vAlign w:val="center"/>
                </w:tcPr>
                <w:p>
                  <w:pPr>
                    <w:pStyle w:val="146"/>
                    <w:rPr>
                      <w:b w:val="0"/>
                      <w:color w:val="auto"/>
                      <w:sz w:val="21"/>
                      <w:szCs w:val="21"/>
                    </w:rPr>
                  </w:pPr>
                  <w:r>
                    <w:rPr>
                      <w:b w:val="0"/>
                      <w:color w:val="auto"/>
                      <w:sz w:val="21"/>
                      <w:szCs w:val="21"/>
                    </w:rPr>
                    <w:t>源头和过程控制</w:t>
                  </w:r>
                </w:p>
              </w:tc>
              <w:tc>
                <w:tcPr>
                  <w:tcW w:w="3081" w:type="dxa"/>
                  <w:vAlign w:val="center"/>
                </w:tcPr>
                <w:p>
                  <w:pPr>
                    <w:pStyle w:val="146"/>
                    <w:rPr>
                      <w:b w:val="0"/>
                      <w:color w:val="auto"/>
                      <w:sz w:val="21"/>
                      <w:szCs w:val="21"/>
                    </w:rPr>
                  </w:pPr>
                  <w:r>
                    <w:rPr>
                      <w:b w:val="0"/>
                      <w:color w:val="auto"/>
                      <w:sz w:val="21"/>
                      <w:szCs w:val="21"/>
                      <w:lang w:val="zh-CN"/>
                    </w:rPr>
                    <w:t>鼓励使用通过环境标志产品认证的环保型涂料、油墨、胶粘剂和清洗剂。</w:t>
                  </w:r>
                </w:p>
              </w:tc>
              <w:tc>
                <w:tcPr>
                  <w:tcW w:w="3303" w:type="dxa"/>
                  <w:vAlign w:val="center"/>
                </w:tcPr>
                <w:p>
                  <w:pPr>
                    <w:pStyle w:val="146"/>
                    <w:rPr>
                      <w:b w:val="0"/>
                      <w:color w:val="auto"/>
                      <w:sz w:val="21"/>
                      <w:szCs w:val="21"/>
                    </w:rPr>
                  </w:pPr>
                  <w:r>
                    <w:rPr>
                      <w:b w:val="0"/>
                      <w:color w:val="auto"/>
                      <w:sz w:val="21"/>
                      <w:szCs w:val="21"/>
                    </w:rPr>
                    <w:t>本项目不涉及</w:t>
                  </w:r>
                  <w:r>
                    <w:rPr>
                      <w:b w:val="0"/>
                      <w:color w:val="auto"/>
                      <w:sz w:val="21"/>
                      <w:szCs w:val="21"/>
                      <w:lang w:val="zh-CN"/>
                    </w:rPr>
                    <w:t>涂料、油墨、胶粘剂和清洗剂。</w:t>
                  </w: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27" w:type="dxa"/>
                  <w:vAlign w:val="center"/>
                </w:tcPr>
                <w:p>
                  <w:pPr>
                    <w:pStyle w:val="146"/>
                    <w:rPr>
                      <w:b w:val="0"/>
                      <w:color w:val="auto"/>
                      <w:sz w:val="21"/>
                      <w:szCs w:val="21"/>
                    </w:rPr>
                  </w:pPr>
                  <w:r>
                    <w:rPr>
                      <w:b w:val="0"/>
                      <w:color w:val="auto"/>
                      <w:sz w:val="21"/>
                      <w:szCs w:val="21"/>
                    </w:rPr>
                    <w:t>2</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lang w:val="zh-CN"/>
                    </w:rPr>
                  </w:pPr>
                  <w:r>
                    <w:rPr>
                      <w:b w:val="0"/>
                      <w:color w:val="auto"/>
                      <w:sz w:val="21"/>
                      <w:szCs w:val="21"/>
                      <w:lang w:val="zh-CN"/>
                    </w:rPr>
                    <w:t>根据涂装工艺的不同，鼓励使用水性涂料、高固份涂料、粉</w:t>
                  </w:r>
                  <w:r>
                    <w:rPr>
                      <w:rFonts w:hint="eastAsia"/>
                      <w:b w:val="0"/>
                      <w:color w:val="auto"/>
                      <w:sz w:val="21"/>
                      <w:szCs w:val="21"/>
                      <w:lang w:val="zh-CN"/>
                    </w:rPr>
                    <w:t>末</w:t>
                  </w:r>
                  <w:r>
                    <w:rPr>
                      <w:b w:val="0"/>
                      <w:color w:val="auto"/>
                      <w:sz w:val="21"/>
                      <w:szCs w:val="21"/>
                      <w:lang w:val="zh-CN"/>
                    </w:rPr>
                    <w:t>涂料、紫外光固化（UV）涂料等环保型涂料；推广采用静电喷涂、淋涂、辊涂、浸涂等效率较高的涂装工艺；应尽量避免</w:t>
                  </w:r>
                  <w:r>
                    <w:rPr>
                      <w:b w:val="0"/>
                      <w:color w:val="auto"/>
                      <w:sz w:val="21"/>
                      <w:szCs w:val="21"/>
                      <w:lang w:val="zh-CN"/>
                    </w:rPr>
                    <w:cr/>
                  </w:r>
                  <w:r>
                    <w:rPr>
                      <w:b w:val="0"/>
                      <w:color w:val="auto"/>
                      <w:sz w:val="21"/>
                      <w:szCs w:val="21"/>
                      <w:lang w:val="zh-CN"/>
                    </w:rPr>
                    <w:t>VoCs净化、回收措施的露天喷涂作业。</w:t>
                  </w:r>
                </w:p>
              </w:tc>
              <w:tc>
                <w:tcPr>
                  <w:tcW w:w="3303" w:type="dxa"/>
                  <w:vAlign w:val="center"/>
                </w:tcPr>
                <w:p>
                  <w:pPr>
                    <w:pStyle w:val="146"/>
                    <w:rPr>
                      <w:b w:val="0"/>
                      <w:color w:val="auto"/>
                      <w:sz w:val="21"/>
                      <w:szCs w:val="21"/>
                      <w:lang w:bidi="ar"/>
                    </w:rPr>
                  </w:pPr>
                  <w:r>
                    <w:rPr>
                      <w:b w:val="0"/>
                      <w:color w:val="auto"/>
                      <w:sz w:val="21"/>
                      <w:szCs w:val="21"/>
                      <w:lang w:bidi="ar"/>
                    </w:rPr>
                    <w:t>运营期涉及石油沥青的存储和使用，项目沥青储罐、输送管道以及搅拌缸均为封闭结构。</w:t>
                  </w:r>
                  <w:r>
                    <w:rPr>
                      <w:b w:val="0"/>
                      <w:color w:val="auto"/>
                      <w:sz w:val="21"/>
                      <w:szCs w:val="21"/>
                    </w:rPr>
                    <w:t>搅拌缸卸料口沥青烟气经集气罩收集后和沥青储存罐呼吸孔排放的挥发性有机废气（以非甲烷总烃计）一起通过管道引至“喷淋塔+活性炭吸附箱”处理后通过15高排气筒DA002有组织排放，可有效减少挥发性有机物的排放。</w:t>
                  </w: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427" w:type="dxa"/>
                  <w:vAlign w:val="center"/>
                </w:tcPr>
                <w:p>
                  <w:pPr>
                    <w:pStyle w:val="146"/>
                    <w:rPr>
                      <w:b w:val="0"/>
                      <w:color w:val="auto"/>
                      <w:sz w:val="21"/>
                      <w:szCs w:val="21"/>
                    </w:rPr>
                  </w:pPr>
                  <w:r>
                    <w:rPr>
                      <w:b w:val="0"/>
                      <w:color w:val="auto"/>
                      <w:sz w:val="21"/>
                      <w:szCs w:val="21"/>
                    </w:rPr>
                    <w:t>3</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淘汰以三氟三氯乙烷、甲基氯仿和四氯化碳为清洗剂或溶剂的生产工艺。清洗过程中产生的废溶剂宜密闭收集，有回收价值的废溶剂经处理后回用，其他废溶剂应妥善处置。</w:t>
                  </w:r>
                </w:p>
              </w:tc>
              <w:tc>
                <w:tcPr>
                  <w:tcW w:w="3303" w:type="dxa"/>
                  <w:vAlign w:val="center"/>
                </w:tcPr>
                <w:p>
                  <w:pPr>
                    <w:pStyle w:val="146"/>
                    <w:rPr>
                      <w:b w:val="0"/>
                      <w:color w:val="auto"/>
                      <w:sz w:val="21"/>
                      <w:szCs w:val="21"/>
                    </w:rPr>
                  </w:pPr>
                  <w:r>
                    <w:rPr>
                      <w:b w:val="0"/>
                      <w:color w:val="auto"/>
                      <w:sz w:val="21"/>
                      <w:szCs w:val="21"/>
                    </w:rPr>
                    <w:t>本项目不涉及</w:t>
                  </w:r>
                  <w:r>
                    <w:rPr>
                      <w:b w:val="0"/>
                      <w:color w:val="auto"/>
                      <w:sz w:val="21"/>
                      <w:szCs w:val="21"/>
                      <w:lang w:val="zh-CN"/>
                    </w:rPr>
                    <w:t>以三氟三氯乙烷、甲基氯仿和四氯化碳为清洗剂或溶剂的生产工艺。</w:t>
                  </w: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7" w:type="dxa"/>
                  <w:vAlign w:val="center"/>
                </w:tcPr>
                <w:p>
                  <w:pPr>
                    <w:pStyle w:val="146"/>
                    <w:rPr>
                      <w:b w:val="0"/>
                      <w:color w:val="auto"/>
                      <w:sz w:val="21"/>
                      <w:szCs w:val="21"/>
                    </w:rPr>
                  </w:pPr>
                  <w:r>
                    <w:rPr>
                      <w:b w:val="0"/>
                      <w:color w:val="auto"/>
                      <w:sz w:val="21"/>
                      <w:szCs w:val="21"/>
                    </w:rPr>
                    <w:t>4</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含VOCs产品的使用过程中，应采取废气收集措施，提高废气收集效率，减少废气的无组织排放与逸散，并对收集后的废气进行回收或处理后达标排放。</w:t>
                  </w:r>
                </w:p>
              </w:tc>
              <w:tc>
                <w:tcPr>
                  <w:tcW w:w="3303" w:type="dxa"/>
                  <w:vMerge w:val="restart"/>
                  <w:vAlign w:val="center"/>
                </w:tcPr>
                <w:p>
                  <w:pPr>
                    <w:pStyle w:val="146"/>
                    <w:rPr>
                      <w:b w:val="0"/>
                      <w:color w:val="auto"/>
                      <w:sz w:val="21"/>
                      <w:szCs w:val="21"/>
                    </w:rPr>
                  </w:pPr>
                  <w:r>
                    <w:rPr>
                      <w:b w:val="0"/>
                      <w:color w:val="auto"/>
                      <w:sz w:val="21"/>
                      <w:szCs w:val="21"/>
                      <w:lang w:bidi="ar"/>
                    </w:rPr>
                    <w:t>运营期涉及石油沥青的存储和使用，项目沥青储罐、输送管道以及搅拌缸均为封闭结构。</w:t>
                  </w:r>
                  <w:r>
                    <w:rPr>
                      <w:b w:val="0"/>
                      <w:color w:val="auto"/>
                      <w:sz w:val="21"/>
                      <w:szCs w:val="21"/>
                    </w:rPr>
                    <w:t>搅拌缸卸料口沥青烟气经集气罩收集后和沥青储存罐呼吸孔排放的挥发性有机废气（以非甲烷总烃计）一起通过管道引至“喷淋塔+活性炭吸附箱”处理后通过15高排气筒DA002有组织排放。在采取相应的对策措施后，可有效减少挥发性有机物的排放。</w:t>
                  </w: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7" w:type="dxa"/>
                  <w:vAlign w:val="center"/>
                </w:tcPr>
                <w:p>
                  <w:pPr>
                    <w:pStyle w:val="146"/>
                    <w:rPr>
                      <w:b w:val="0"/>
                      <w:color w:val="auto"/>
                      <w:sz w:val="21"/>
                      <w:szCs w:val="21"/>
                    </w:rPr>
                  </w:pPr>
                  <w:r>
                    <w:rPr>
                      <w:b w:val="0"/>
                      <w:color w:val="auto"/>
                      <w:sz w:val="21"/>
                      <w:szCs w:val="21"/>
                    </w:rPr>
                    <w:t>5</w:t>
                  </w:r>
                </w:p>
              </w:tc>
              <w:tc>
                <w:tcPr>
                  <w:tcW w:w="489" w:type="dxa"/>
                  <w:vMerge w:val="restart"/>
                  <w:vAlign w:val="center"/>
                </w:tcPr>
                <w:p>
                  <w:pPr>
                    <w:pStyle w:val="146"/>
                    <w:rPr>
                      <w:b w:val="0"/>
                      <w:color w:val="auto"/>
                      <w:sz w:val="21"/>
                      <w:szCs w:val="21"/>
                    </w:rPr>
                  </w:pPr>
                  <w:r>
                    <w:rPr>
                      <w:b w:val="0"/>
                      <w:color w:val="auto"/>
                      <w:sz w:val="21"/>
                      <w:szCs w:val="21"/>
                    </w:rPr>
                    <w:t>末端治理与综合利用</w:t>
                  </w:r>
                </w:p>
              </w:tc>
              <w:tc>
                <w:tcPr>
                  <w:tcW w:w="3081" w:type="dxa"/>
                  <w:vAlign w:val="center"/>
                </w:tcPr>
                <w:p>
                  <w:pPr>
                    <w:pStyle w:val="146"/>
                    <w:rPr>
                      <w:b w:val="0"/>
                      <w:color w:val="auto"/>
                      <w:sz w:val="21"/>
                      <w:szCs w:val="21"/>
                    </w:rPr>
                  </w:pPr>
                  <w:r>
                    <w:rPr>
                      <w:b w:val="0"/>
                      <w:color w:val="auto"/>
                      <w:sz w:val="21"/>
                      <w:szCs w:val="21"/>
                      <w:lang w:val="zh-CN"/>
                    </w:rPr>
                    <w:t>在工业生产过程中鼓励VOCs的回收利用，并优先鼓励在生产系统内回用。</w:t>
                  </w:r>
                </w:p>
              </w:tc>
              <w:tc>
                <w:tcPr>
                  <w:tcW w:w="3303" w:type="dxa"/>
                  <w:vMerge w:val="continue"/>
                  <w:vAlign w:val="center"/>
                </w:tcPr>
                <w:p>
                  <w:pPr>
                    <w:pStyle w:val="146"/>
                    <w:rPr>
                      <w:b w:val="0"/>
                      <w:color w:val="auto"/>
                      <w:sz w:val="21"/>
                      <w:szCs w:val="21"/>
                    </w:rPr>
                  </w:pP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7" w:type="dxa"/>
                  <w:vAlign w:val="center"/>
                </w:tcPr>
                <w:p>
                  <w:pPr>
                    <w:pStyle w:val="146"/>
                    <w:rPr>
                      <w:b w:val="0"/>
                      <w:color w:val="auto"/>
                      <w:sz w:val="21"/>
                      <w:szCs w:val="21"/>
                    </w:rPr>
                  </w:pPr>
                  <w:r>
                    <w:rPr>
                      <w:b w:val="0"/>
                      <w:color w:val="auto"/>
                      <w:sz w:val="21"/>
                      <w:szCs w:val="21"/>
                    </w:rPr>
                    <w:t>6</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对于含高浓度VOCs的废气，宜优先采用冷凝回收、吸附回收技术进行回收利用，并辅助以其他治理技术实现达标排放。</w:t>
                  </w:r>
                </w:p>
              </w:tc>
              <w:tc>
                <w:tcPr>
                  <w:tcW w:w="3303" w:type="dxa"/>
                  <w:vMerge w:val="continue"/>
                  <w:vAlign w:val="center"/>
                </w:tcPr>
                <w:p>
                  <w:pPr>
                    <w:pStyle w:val="146"/>
                    <w:rPr>
                      <w:b w:val="0"/>
                      <w:color w:val="auto"/>
                      <w:sz w:val="21"/>
                      <w:szCs w:val="21"/>
                    </w:rPr>
                  </w:pP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7" w:type="dxa"/>
                  <w:vAlign w:val="center"/>
                </w:tcPr>
                <w:p>
                  <w:pPr>
                    <w:pStyle w:val="146"/>
                    <w:rPr>
                      <w:b w:val="0"/>
                      <w:color w:val="auto"/>
                      <w:sz w:val="21"/>
                      <w:szCs w:val="21"/>
                    </w:rPr>
                  </w:pPr>
                  <w:r>
                    <w:rPr>
                      <w:b w:val="0"/>
                      <w:color w:val="auto"/>
                      <w:sz w:val="21"/>
                      <w:szCs w:val="21"/>
                    </w:rPr>
                    <w:t>7</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对于含中等浓度VOCs的废气，可采用吸附技术回收有机溶剂，或采用催化燃烧和热力焚烧技术净化后达标排放。当采用催化燃烧和热力焚烧技术进行净化时，应进行余热回收利用。</w:t>
                  </w:r>
                </w:p>
              </w:tc>
              <w:tc>
                <w:tcPr>
                  <w:tcW w:w="3303" w:type="dxa"/>
                  <w:vMerge w:val="continue"/>
                  <w:vAlign w:val="center"/>
                </w:tcPr>
                <w:p>
                  <w:pPr>
                    <w:pStyle w:val="146"/>
                    <w:rPr>
                      <w:b w:val="0"/>
                      <w:color w:val="auto"/>
                      <w:sz w:val="21"/>
                      <w:szCs w:val="21"/>
                    </w:rPr>
                  </w:pP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7" w:type="dxa"/>
                  <w:vAlign w:val="center"/>
                </w:tcPr>
                <w:p>
                  <w:pPr>
                    <w:pStyle w:val="146"/>
                    <w:rPr>
                      <w:b w:val="0"/>
                      <w:color w:val="auto"/>
                      <w:sz w:val="21"/>
                      <w:szCs w:val="21"/>
                    </w:rPr>
                  </w:pPr>
                  <w:r>
                    <w:rPr>
                      <w:b w:val="0"/>
                      <w:color w:val="auto"/>
                      <w:sz w:val="21"/>
                      <w:szCs w:val="21"/>
                    </w:rPr>
                    <w:t>8</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3303" w:type="dxa"/>
                  <w:vMerge w:val="continue"/>
                  <w:vAlign w:val="center"/>
                </w:tcPr>
                <w:p>
                  <w:pPr>
                    <w:pStyle w:val="146"/>
                    <w:rPr>
                      <w:b w:val="0"/>
                      <w:color w:val="auto"/>
                      <w:sz w:val="21"/>
                      <w:szCs w:val="21"/>
                    </w:rPr>
                  </w:pP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7" w:type="dxa"/>
                  <w:vAlign w:val="center"/>
                </w:tcPr>
                <w:p>
                  <w:pPr>
                    <w:pStyle w:val="146"/>
                    <w:rPr>
                      <w:b w:val="0"/>
                      <w:color w:val="auto"/>
                      <w:sz w:val="21"/>
                      <w:szCs w:val="21"/>
                    </w:rPr>
                  </w:pPr>
                  <w:r>
                    <w:rPr>
                      <w:b w:val="0"/>
                      <w:color w:val="auto"/>
                      <w:sz w:val="21"/>
                      <w:szCs w:val="21"/>
                    </w:rPr>
                    <w:t>9</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含有有机卤素成分VOCs的废气，宜采用非焚烧技术处理。</w:t>
                  </w:r>
                </w:p>
              </w:tc>
              <w:tc>
                <w:tcPr>
                  <w:tcW w:w="3303" w:type="dxa"/>
                  <w:vAlign w:val="center"/>
                </w:tcPr>
                <w:p>
                  <w:pPr>
                    <w:pStyle w:val="146"/>
                    <w:rPr>
                      <w:b w:val="0"/>
                      <w:color w:val="auto"/>
                      <w:sz w:val="21"/>
                      <w:szCs w:val="21"/>
                    </w:rPr>
                  </w:pPr>
                  <w:r>
                    <w:rPr>
                      <w:b w:val="0"/>
                      <w:color w:val="auto"/>
                      <w:sz w:val="21"/>
                      <w:szCs w:val="21"/>
                    </w:rPr>
                    <w:t>本项目不涉及。</w:t>
                  </w: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vAlign w:val="center"/>
                </w:tcPr>
                <w:p>
                  <w:pPr>
                    <w:pStyle w:val="146"/>
                    <w:rPr>
                      <w:b w:val="0"/>
                      <w:color w:val="auto"/>
                      <w:sz w:val="21"/>
                      <w:szCs w:val="21"/>
                    </w:rPr>
                  </w:pPr>
                  <w:r>
                    <w:rPr>
                      <w:b w:val="0"/>
                      <w:color w:val="auto"/>
                      <w:sz w:val="21"/>
                      <w:szCs w:val="21"/>
                    </w:rPr>
                    <w:t>10</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3303" w:type="dxa"/>
                  <w:vAlign w:val="center"/>
                </w:tcPr>
                <w:p>
                  <w:pPr>
                    <w:pStyle w:val="146"/>
                    <w:rPr>
                      <w:b w:val="0"/>
                      <w:color w:val="auto"/>
                      <w:sz w:val="21"/>
                      <w:szCs w:val="21"/>
                    </w:rPr>
                  </w:pPr>
                  <w:r>
                    <w:rPr>
                      <w:b w:val="0"/>
                      <w:color w:val="auto"/>
                      <w:sz w:val="21"/>
                      <w:szCs w:val="21"/>
                    </w:rPr>
                    <w:t>本项目生产过程产生的少量恶臭气体与有机废气一同进入活性炭吸附装置处理后排放。</w:t>
                  </w: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7" w:type="dxa"/>
                  <w:vAlign w:val="center"/>
                </w:tcPr>
                <w:p>
                  <w:pPr>
                    <w:pStyle w:val="146"/>
                    <w:rPr>
                      <w:b w:val="0"/>
                      <w:color w:val="auto"/>
                      <w:sz w:val="21"/>
                      <w:szCs w:val="21"/>
                    </w:rPr>
                  </w:pPr>
                  <w:r>
                    <w:rPr>
                      <w:b w:val="0"/>
                      <w:color w:val="auto"/>
                      <w:sz w:val="21"/>
                      <w:szCs w:val="21"/>
                    </w:rPr>
                    <w:t>11</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严格控制VOCs处理过程中产生的二次污染，对于催化燃烧和热力焚烧过程中产生的含硫、氮、氯等无机废气，以及吸附、吸收、冷凝、生物等治理过程中所产生的含有机物废水，应处理后达标排放。</w:t>
                  </w:r>
                </w:p>
              </w:tc>
              <w:tc>
                <w:tcPr>
                  <w:tcW w:w="3303" w:type="dxa"/>
                  <w:vAlign w:val="center"/>
                </w:tcPr>
                <w:p>
                  <w:pPr>
                    <w:pStyle w:val="146"/>
                    <w:rPr>
                      <w:b w:val="0"/>
                      <w:color w:val="auto"/>
                      <w:sz w:val="21"/>
                      <w:szCs w:val="21"/>
                    </w:rPr>
                  </w:pPr>
                  <w:r>
                    <w:rPr>
                      <w:b w:val="0"/>
                      <w:color w:val="auto"/>
                      <w:sz w:val="21"/>
                      <w:szCs w:val="21"/>
                      <w:lang w:bidi="ar"/>
                    </w:rPr>
                    <w:t>运营期涉及石油沥青的存储和使用，项目沥青储罐、输送管道以及搅拌缸均为封闭结构。</w:t>
                  </w:r>
                  <w:r>
                    <w:rPr>
                      <w:b w:val="0"/>
                      <w:color w:val="auto"/>
                      <w:sz w:val="21"/>
                      <w:szCs w:val="21"/>
                    </w:rPr>
                    <w:t>搅拌缸卸料口沥青烟气经集气罩收集后和沥青储存罐呼吸孔排放的挥发性有机废气（以非甲烷总烃计）一起通过管道引至“喷淋塔+活性炭吸附箱”处理后通过15高排气筒DA002有组织排放。在采取相应的对策措施后，项目有机废气能够达标排放。废气治理过程不涉及含有机物废水。</w:t>
                  </w:r>
                </w:p>
              </w:tc>
              <w:tc>
                <w:tcPr>
                  <w:tcW w:w="683" w:type="dxa"/>
                  <w:vAlign w:val="center"/>
                </w:tcPr>
                <w:p>
                  <w:pPr>
                    <w:pStyle w:val="146"/>
                    <w:rPr>
                      <w:b w:val="0"/>
                      <w:color w:val="auto"/>
                      <w:sz w:val="21"/>
                      <w:szCs w:val="21"/>
                    </w:rPr>
                  </w:pPr>
                  <w:r>
                    <w:rPr>
                      <w:b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7" w:type="dxa"/>
                  <w:vAlign w:val="center"/>
                </w:tcPr>
                <w:p>
                  <w:pPr>
                    <w:pStyle w:val="146"/>
                    <w:rPr>
                      <w:b w:val="0"/>
                      <w:color w:val="auto"/>
                      <w:sz w:val="21"/>
                      <w:szCs w:val="21"/>
                    </w:rPr>
                  </w:pPr>
                  <w:r>
                    <w:rPr>
                      <w:b w:val="0"/>
                      <w:color w:val="auto"/>
                      <w:sz w:val="21"/>
                      <w:szCs w:val="21"/>
                    </w:rPr>
                    <w:t>12</w:t>
                  </w:r>
                </w:p>
              </w:tc>
              <w:tc>
                <w:tcPr>
                  <w:tcW w:w="489" w:type="dxa"/>
                  <w:vMerge w:val="continue"/>
                  <w:vAlign w:val="center"/>
                </w:tcPr>
                <w:p>
                  <w:pPr>
                    <w:pStyle w:val="146"/>
                    <w:rPr>
                      <w:b w:val="0"/>
                      <w:color w:val="auto"/>
                      <w:sz w:val="21"/>
                      <w:szCs w:val="21"/>
                    </w:rPr>
                  </w:pPr>
                </w:p>
              </w:tc>
              <w:tc>
                <w:tcPr>
                  <w:tcW w:w="3081" w:type="dxa"/>
                  <w:vAlign w:val="center"/>
                </w:tcPr>
                <w:p>
                  <w:pPr>
                    <w:pStyle w:val="146"/>
                    <w:rPr>
                      <w:b w:val="0"/>
                      <w:color w:val="auto"/>
                      <w:sz w:val="21"/>
                      <w:szCs w:val="21"/>
                    </w:rPr>
                  </w:pPr>
                  <w:r>
                    <w:rPr>
                      <w:b w:val="0"/>
                      <w:color w:val="auto"/>
                      <w:sz w:val="21"/>
                      <w:szCs w:val="21"/>
                      <w:lang w:val="zh-CN"/>
                    </w:rPr>
                    <w:t>对于不能再生的过滤材料、吸附剂及催化剂等净化材料，应按照国家固体废物管理的相关规定处理处置。</w:t>
                  </w:r>
                </w:p>
              </w:tc>
              <w:tc>
                <w:tcPr>
                  <w:tcW w:w="3303" w:type="dxa"/>
                  <w:vAlign w:val="center"/>
                </w:tcPr>
                <w:p>
                  <w:pPr>
                    <w:pStyle w:val="146"/>
                    <w:rPr>
                      <w:b w:val="0"/>
                      <w:color w:val="auto"/>
                      <w:sz w:val="21"/>
                      <w:szCs w:val="21"/>
                    </w:rPr>
                  </w:pPr>
                  <w:r>
                    <w:rPr>
                      <w:b w:val="0"/>
                      <w:color w:val="auto"/>
                      <w:sz w:val="21"/>
                      <w:szCs w:val="21"/>
                    </w:rPr>
                    <w:t>项目废活性炭统一收集暂存于危险废物暂存间，委托持有相关资质的单位定期清运处置。</w:t>
                  </w:r>
                </w:p>
              </w:tc>
              <w:tc>
                <w:tcPr>
                  <w:tcW w:w="683" w:type="dxa"/>
                  <w:vAlign w:val="center"/>
                </w:tcPr>
                <w:p>
                  <w:pPr>
                    <w:pStyle w:val="146"/>
                    <w:rPr>
                      <w:b w:val="0"/>
                      <w:color w:val="auto"/>
                      <w:sz w:val="21"/>
                      <w:szCs w:val="21"/>
                    </w:rPr>
                  </w:pPr>
                  <w:r>
                    <w:rPr>
                      <w:b w:val="0"/>
                      <w:color w:val="auto"/>
                      <w:sz w:val="21"/>
                      <w:szCs w:val="21"/>
                    </w:rPr>
                    <w:t>符合</w:t>
                  </w:r>
                </w:p>
              </w:tc>
            </w:tr>
          </w:tbl>
          <w:p>
            <w:pPr>
              <w:pStyle w:val="147"/>
            </w:pPr>
            <w:r>
              <w:rPr>
                <w:szCs w:val="21"/>
              </w:rPr>
              <w:t>综上，</w:t>
            </w:r>
            <w:r>
              <w:rPr>
                <w:kern w:val="0"/>
              </w:rPr>
              <w:t>项目建设与</w:t>
            </w:r>
            <w:r>
              <w:t>《挥发性有机物污染防治技术政策》相关要求相符。</w:t>
            </w:r>
          </w:p>
          <w:p>
            <w:pPr>
              <w:pStyle w:val="108"/>
              <w:rPr>
                <w:color w:val="auto"/>
                <w:sz w:val="24"/>
                <w:lang w:bidi="ar"/>
              </w:rPr>
            </w:pPr>
            <w:r>
              <w:rPr>
                <w:color w:val="auto"/>
                <w:sz w:val="24"/>
                <w:lang w:bidi="ar"/>
              </w:rPr>
              <w:t>8、与《工业炉窑大气污染综合治理方案》（环大气[2019]56号）符合性</w:t>
            </w:r>
          </w:p>
          <w:p>
            <w:pPr>
              <w:pStyle w:val="151"/>
              <w:rPr>
                <w:color w:val="auto"/>
              </w:rPr>
            </w:pPr>
            <w:r>
              <w:rPr>
                <w:color w:val="auto"/>
              </w:rPr>
              <w:t>表1-9   与《工业炉窑大气污染综合治理方案》符合性分析一览表</w:t>
            </w:r>
          </w:p>
          <w:tbl>
            <w:tblPr>
              <w:tblStyle w:val="29"/>
              <w:tblW w:w="7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4057"/>
              <w:gridCol w:w="2949"/>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vAlign w:val="center"/>
                </w:tcPr>
                <w:p>
                  <w:pPr>
                    <w:pStyle w:val="66"/>
                    <w:rPr>
                      <w:color w:val="auto"/>
                      <w:lang w:bidi="ar"/>
                    </w:rPr>
                  </w:pPr>
                  <w:r>
                    <w:rPr>
                      <w:color w:val="auto"/>
                      <w:lang w:bidi="ar"/>
                    </w:rPr>
                    <w:t>序号</w:t>
                  </w:r>
                </w:p>
              </w:tc>
              <w:tc>
                <w:tcPr>
                  <w:tcW w:w="4057" w:type="dxa"/>
                  <w:vAlign w:val="center"/>
                </w:tcPr>
                <w:p>
                  <w:pPr>
                    <w:pStyle w:val="66"/>
                    <w:rPr>
                      <w:color w:val="auto"/>
                      <w:lang w:bidi="ar"/>
                    </w:rPr>
                  </w:pPr>
                  <w:r>
                    <w:rPr>
                      <w:color w:val="auto"/>
                      <w:lang w:bidi="ar"/>
                    </w:rPr>
                    <w:t>方案要求</w:t>
                  </w:r>
                </w:p>
              </w:tc>
              <w:tc>
                <w:tcPr>
                  <w:tcW w:w="2949" w:type="dxa"/>
                  <w:vAlign w:val="center"/>
                </w:tcPr>
                <w:p>
                  <w:pPr>
                    <w:pStyle w:val="66"/>
                    <w:rPr>
                      <w:color w:val="auto"/>
                      <w:lang w:bidi="ar"/>
                    </w:rPr>
                  </w:pPr>
                  <w:r>
                    <w:rPr>
                      <w:color w:val="auto"/>
                      <w:lang w:bidi="ar"/>
                    </w:rPr>
                    <w:t>本项目情况</w:t>
                  </w:r>
                </w:p>
              </w:tc>
              <w:tc>
                <w:tcPr>
                  <w:tcW w:w="472" w:type="dxa"/>
                  <w:vAlign w:val="center"/>
                </w:tcPr>
                <w:p>
                  <w:pPr>
                    <w:pStyle w:val="66"/>
                    <w:rPr>
                      <w:color w:val="auto"/>
                      <w:lang w:bidi="ar"/>
                    </w:rPr>
                  </w:pPr>
                  <w:r>
                    <w:rPr>
                      <w:color w:val="auto"/>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vAlign w:val="center"/>
                </w:tcPr>
                <w:p>
                  <w:pPr>
                    <w:pStyle w:val="66"/>
                    <w:rPr>
                      <w:color w:val="auto"/>
                      <w:lang w:bidi="ar"/>
                    </w:rPr>
                  </w:pPr>
                  <w:r>
                    <w:rPr>
                      <w:color w:val="auto"/>
                      <w:lang w:bidi="ar"/>
                    </w:rPr>
                    <w:t>1</w:t>
                  </w:r>
                </w:p>
              </w:tc>
              <w:tc>
                <w:tcPr>
                  <w:tcW w:w="4057" w:type="dxa"/>
                  <w:vAlign w:val="center"/>
                </w:tcPr>
                <w:p>
                  <w:pPr>
                    <w:pStyle w:val="66"/>
                    <w:rPr>
                      <w:color w:val="auto"/>
                      <w:lang w:bidi="ar"/>
                    </w:rPr>
                  </w:pPr>
                  <w:r>
                    <w:rPr>
                      <w:color w:val="auto"/>
                      <w:lang w:bidi="ar"/>
                    </w:rPr>
                    <w:t>加大产业结构调整力度。严格建设项目环境准入。新建涉工业炉窑的建设项目，原则上要入园区，配套建设高效环保治理设施。重点区域严格控制涉工业炉窑建设项目，严禁新增钢铁、焦化、电解铝、铸造、水泥和平板玻璃等产能:亚格执行钢铁、水泥、平板玻璃等行业产能置换实施办法;原则上禁止新建燃料类煤气发生炉（园区现有企业统一建设的清洁煤制气中心除外）</w:t>
                  </w:r>
                </w:p>
              </w:tc>
              <w:tc>
                <w:tcPr>
                  <w:tcW w:w="2949" w:type="dxa"/>
                  <w:vMerge w:val="restart"/>
                  <w:vAlign w:val="center"/>
                </w:tcPr>
                <w:p>
                  <w:pPr>
                    <w:pStyle w:val="66"/>
                    <w:rPr>
                      <w:color w:val="auto"/>
                      <w:lang w:bidi="ar"/>
                    </w:rPr>
                  </w:pPr>
                  <w:r>
                    <w:rPr>
                      <w:color w:val="auto"/>
                    </w:rPr>
                    <w:t>本项目的供能方式为油气两用燃烧机，砂料加工工序将采用柴油供热；沥青储罐为电加热沥青储存罐，其沥青加热工序采用电能和柴油供热。</w:t>
                  </w:r>
                </w:p>
              </w:tc>
              <w:tc>
                <w:tcPr>
                  <w:tcW w:w="472" w:type="dxa"/>
                  <w:vAlign w:val="center"/>
                </w:tcPr>
                <w:p>
                  <w:pPr>
                    <w:pStyle w:val="66"/>
                    <w:rPr>
                      <w:color w:val="auto"/>
                      <w:lang w:bidi="ar"/>
                    </w:rPr>
                  </w:pPr>
                  <w:r>
                    <w:rPr>
                      <w:color w:val="auto"/>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vAlign w:val="center"/>
                </w:tcPr>
                <w:p>
                  <w:pPr>
                    <w:pStyle w:val="66"/>
                    <w:rPr>
                      <w:color w:val="auto"/>
                      <w:lang w:bidi="ar"/>
                    </w:rPr>
                  </w:pPr>
                  <w:r>
                    <w:rPr>
                      <w:color w:val="auto"/>
                      <w:lang w:bidi="ar"/>
                    </w:rPr>
                    <w:t>2</w:t>
                  </w:r>
                </w:p>
              </w:tc>
              <w:tc>
                <w:tcPr>
                  <w:tcW w:w="4057" w:type="dxa"/>
                  <w:vAlign w:val="center"/>
                </w:tcPr>
                <w:p>
                  <w:pPr>
                    <w:pStyle w:val="66"/>
                    <w:rPr>
                      <w:color w:val="auto"/>
                      <w:lang w:bidi="ar"/>
                    </w:rPr>
                  </w:pPr>
                  <w:r>
                    <w:rPr>
                      <w:color w:val="auto"/>
                      <w:lang w:bidi="ar"/>
                    </w:rPr>
                    <w:t>加快燃料清洁低碳化替代。对以煤、石油焦、渣油、重油等为燃料的工业炉窑，加快使用清洁低碳能源以及利用工厂余热、电厂热力等进行替代。重点区域禁止掺烧高硫石油焦（硫含量大于3%）玻璃行业全面禁止掺烧高硫石油焦。</w:t>
                  </w:r>
                </w:p>
              </w:tc>
              <w:tc>
                <w:tcPr>
                  <w:tcW w:w="2949" w:type="dxa"/>
                  <w:vMerge w:val="continue"/>
                  <w:vAlign w:val="center"/>
                </w:tcPr>
                <w:p>
                  <w:pPr>
                    <w:pStyle w:val="66"/>
                    <w:rPr>
                      <w:color w:val="auto"/>
                      <w:lang w:bidi="ar"/>
                    </w:rPr>
                  </w:pPr>
                </w:p>
              </w:tc>
              <w:tc>
                <w:tcPr>
                  <w:tcW w:w="472" w:type="dxa"/>
                  <w:vAlign w:val="center"/>
                </w:tcPr>
                <w:p>
                  <w:pPr>
                    <w:pStyle w:val="66"/>
                    <w:rPr>
                      <w:color w:val="auto"/>
                      <w:lang w:bidi="ar"/>
                    </w:rPr>
                  </w:pPr>
                  <w:r>
                    <w:rPr>
                      <w:color w:val="auto"/>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vAlign w:val="center"/>
                </w:tcPr>
                <w:p>
                  <w:pPr>
                    <w:pStyle w:val="66"/>
                    <w:rPr>
                      <w:color w:val="auto"/>
                      <w:lang w:bidi="ar"/>
                    </w:rPr>
                  </w:pPr>
                  <w:r>
                    <w:rPr>
                      <w:color w:val="auto"/>
                      <w:lang w:bidi="ar"/>
                    </w:rPr>
                    <w:t>3</w:t>
                  </w:r>
                </w:p>
              </w:tc>
              <w:tc>
                <w:tcPr>
                  <w:tcW w:w="4057" w:type="dxa"/>
                  <w:vAlign w:val="center"/>
                </w:tcPr>
                <w:p>
                  <w:pPr>
                    <w:pStyle w:val="66"/>
                    <w:rPr>
                      <w:color w:val="auto"/>
                      <w:lang w:bidi="ar"/>
                    </w:rPr>
                  </w:pPr>
                  <w:r>
                    <w:rPr>
                      <w:color w:val="auto"/>
                      <w:lang w:bidi="ar"/>
                    </w:rPr>
                    <w:t>实施污染深度治理。推进工业炉窑全面达标排放。已有行业排放标准的工业炉窑，严格执行行业排放标准相关规定，配套建设高效脱硫脱硝除尘设施，确保稳定达标排放。已制定更严格地方排放标准的，按地方标准执行。</w:t>
                  </w:r>
                </w:p>
              </w:tc>
              <w:tc>
                <w:tcPr>
                  <w:tcW w:w="2949" w:type="dxa"/>
                  <w:vAlign w:val="center"/>
                </w:tcPr>
                <w:p>
                  <w:pPr>
                    <w:pStyle w:val="66"/>
                    <w:rPr>
                      <w:color w:val="auto"/>
                    </w:rPr>
                  </w:pPr>
                  <w:r>
                    <w:rPr>
                      <w:color w:val="auto"/>
                    </w:rPr>
                    <w:t>本项目采用柴油作为燃料，砂料工序废气经两级重力除尘系统（重力除尘系统+大气反吹式除尘器）处置后通过15m高排气筒DA001有组织排放，可实现达标排放。</w:t>
                  </w:r>
                </w:p>
              </w:tc>
              <w:tc>
                <w:tcPr>
                  <w:tcW w:w="472" w:type="dxa"/>
                  <w:vAlign w:val="center"/>
                </w:tcPr>
                <w:p>
                  <w:pPr>
                    <w:pStyle w:val="66"/>
                    <w:rPr>
                      <w:color w:val="auto"/>
                      <w:lang w:bidi="ar"/>
                    </w:rPr>
                  </w:pPr>
                  <w:r>
                    <w:rPr>
                      <w:color w:val="auto"/>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vAlign w:val="center"/>
                </w:tcPr>
                <w:p>
                  <w:pPr>
                    <w:pStyle w:val="66"/>
                    <w:rPr>
                      <w:color w:val="auto"/>
                      <w:lang w:bidi="ar"/>
                    </w:rPr>
                  </w:pPr>
                  <w:r>
                    <w:rPr>
                      <w:color w:val="auto"/>
                      <w:lang w:bidi="ar"/>
                    </w:rPr>
                    <w:t>4</w:t>
                  </w:r>
                </w:p>
              </w:tc>
              <w:tc>
                <w:tcPr>
                  <w:tcW w:w="4057" w:type="dxa"/>
                  <w:vAlign w:val="center"/>
                </w:tcPr>
                <w:p>
                  <w:pPr>
                    <w:pStyle w:val="66"/>
                    <w:rPr>
                      <w:color w:val="auto"/>
                      <w:lang w:bidi="ar"/>
                    </w:rPr>
                  </w:pPr>
                  <w:r>
                    <w:rPr>
                      <w:color w:val="auto"/>
                      <w:lang w:bidi="ar"/>
                    </w:rPr>
                    <w:t>全面加强无组织排放管理。严格控制工业炉窑生产工艺过程及相关物料储存、输送等无组织排放，在保障生产安全的前提下，采取密闭、封闭等有效措施，有效提高废气收集率，产尘点及车间不得有可见烟粉尘外逸。全面加强无组织排放管理。严格控制工业炉窑生产工艺过程及相关物料储存、输送等无组织排放，在保障生产安全的前提下，采取密闭、封闭等有效措施，有效提高废气收集率，产尘点及车间不得有可见烟粉尘外逸。</w:t>
                  </w:r>
                </w:p>
              </w:tc>
              <w:tc>
                <w:tcPr>
                  <w:tcW w:w="2949" w:type="dxa"/>
                  <w:vAlign w:val="center"/>
                </w:tcPr>
                <w:p>
                  <w:pPr>
                    <w:pStyle w:val="66"/>
                    <w:rPr>
                      <w:color w:val="auto"/>
                    </w:rPr>
                  </w:pPr>
                  <w:r>
                    <w:rPr>
                      <w:color w:val="auto"/>
                    </w:rPr>
                    <w:t>本项目对皮带给料器（料斗）进行三面封闭，并设置喷淋装置、皮带输送机加装防尘罩。沥青储罐呼吸口设置排气烟道、搅拌缸卸料口设置集气罩和烟道用于收集沥青储存、卸料过程中产生的挥发性有机物和沥青烟气。</w:t>
                  </w:r>
                </w:p>
              </w:tc>
              <w:tc>
                <w:tcPr>
                  <w:tcW w:w="472" w:type="dxa"/>
                  <w:vAlign w:val="center"/>
                </w:tcPr>
                <w:p>
                  <w:pPr>
                    <w:pStyle w:val="66"/>
                    <w:rPr>
                      <w:color w:val="auto"/>
                      <w:lang w:bidi="ar"/>
                    </w:rPr>
                  </w:pPr>
                  <w:r>
                    <w:rPr>
                      <w:color w:val="auto"/>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vAlign w:val="center"/>
                </w:tcPr>
                <w:p>
                  <w:pPr>
                    <w:pStyle w:val="66"/>
                    <w:rPr>
                      <w:color w:val="auto"/>
                      <w:lang w:bidi="ar"/>
                    </w:rPr>
                  </w:pPr>
                  <w:r>
                    <w:rPr>
                      <w:color w:val="auto"/>
                      <w:lang w:bidi="ar"/>
                    </w:rPr>
                    <w:t>5</w:t>
                  </w:r>
                </w:p>
              </w:tc>
              <w:tc>
                <w:tcPr>
                  <w:tcW w:w="4057" w:type="dxa"/>
                  <w:vAlign w:val="center"/>
                </w:tcPr>
                <w:p>
                  <w:pPr>
                    <w:pStyle w:val="66"/>
                    <w:rPr>
                      <w:color w:val="auto"/>
                      <w:lang w:bidi="ar"/>
                    </w:rPr>
                  </w:pPr>
                  <w:r>
                    <w:rPr>
                      <w:color w:val="auto"/>
                      <w:lang w:bidi="ar"/>
                    </w:rPr>
                    <w:t>强化企业主体责任。企业是工业炉窑污染治理的责任主体，要切实履行责任，按照本行动方案和地方有关部门要求等制定工业炉窑综合治理实施计划，确保按期完成改造任务。加大资金投入，加快装备升级和燃料清洁低碳化替代，实施污染深度治理。加强人员技术培训，健全内部环保考核管理机制，确保治污设施长期稳定运行。及时公布自行监测和污染排放数据、污染治理措施、重污染天气应对、环保违法处罚及整改等信息，推动公众参与和社会监督。</w:t>
                  </w:r>
                </w:p>
              </w:tc>
              <w:tc>
                <w:tcPr>
                  <w:tcW w:w="2949" w:type="dxa"/>
                  <w:vAlign w:val="center"/>
                </w:tcPr>
                <w:p>
                  <w:pPr>
                    <w:pStyle w:val="66"/>
                    <w:rPr>
                      <w:color w:val="auto"/>
                      <w:lang w:bidi="ar"/>
                    </w:rPr>
                  </w:pPr>
                  <w:r>
                    <w:rPr>
                      <w:color w:val="auto"/>
                      <w:lang w:bidi="ar"/>
                    </w:rPr>
                    <w:t>本项目的供能方式为油气两用燃烧机，骨料烘干采用柴油供热；沥青储罐为电加热沥青储存罐，其沥青加热采用电能供热。</w:t>
                  </w:r>
                </w:p>
              </w:tc>
              <w:tc>
                <w:tcPr>
                  <w:tcW w:w="472" w:type="dxa"/>
                  <w:vAlign w:val="center"/>
                </w:tcPr>
                <w:p>
                  <w:pPr>
                    <w:pStyle w:val="66"/>
                    <w:rPr>
                      <w:color w:val="auto"/>
                      <w:lang w:bidi="ar"/>
                    </w:rPr>
                  </w:pPr>
                  <w:r>
                    <w:rPr>
                      <w:color w:val="auto"/>
                      <w:lang w:bidi="ar"/>
                    </w:rPr>
                    <w:t>符合</w:t>
                  </w:r>
                </w:p>
              </w:tc>
            </w:tr>
          </w:tbl>
          <w:p>
            <w:pPr>
              <w:pStyle w:val="108"/>
              <w:rPr>
                <w:color w:val="auto"/>
                <w:sz w:val="24"/>
              </w:rPr>
            </w:pPr>
            <w:r>
              <w:rPr>
                <w:color w:val="auto"/>
                <w:sz w:val="24"/>
              </w:rPr>
              <w:t>9、与《中华人民共和国河道管理条例》的符合性分析</w:t>
            </w:r>
          </w:p>
          <w:p>
            <w:pPr>
              <w:pStyle w:val="151"/>
              <w:rPr>
                <w:color w:val="auto"/>
              </w:rPr>
            </w:pPr>
            <w:r>
              <w:rPr>
                <w:color w:val="auto"/>
              </w:rPr>
              <w:t>表1-10   与《中华人民共和国河道管理条例》的符合性分析一览表</w:t>
            </w:r>
          </w:p>
          <w:tbl>
            <w:tblPr>
              <w:tblStyle w:val="29"/>
              <w:tblW w:w="7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3651"/>
              <w:gridCol w:w="3305"/>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pStyle w:val="167"/>
                  </w:pPr>
                  <w:r>
                    <w:t>序号</w:t>
                  </w:r>
                </w:p>
              </w:tc>
              <w:tc>
                <w:tcPr>
                  <w:tcW w:w="3651" w:type="dxa"/>
                  <w:vAlign w:val="center"/>
                </w:tcPr>
                <w:p>
                  <w:pPr>
                    <w:pStyle w:val="167"/>
                  </w:pPr>
                  <w:r>
                    <w:t>与本项目有关的管理条例</w:t>
                  </w:r>
                </w:p>
              </w:tc>
              <w:tc>
                <w:tcPr>
                  <w:tcW w:w="3305" w:type="dxa"/>
                  <w:vAlign w:val="center"/>
                </w:tcPr>
                <w:p>
                  <w:pPr>
                    <w:pStyle w:val="167"/>
                  </w:pPr>
                  <w:r>
                    <w:t>本项目情况</w:t>
                  </w:r>
                </w:p>
              </w:tc>
              <w:tc>
                <w:tcPr>
                  <w:tcW w:w="517" w:type="dxa"/>
                  <w:vAlign w:val="center"/>
                </w:tcPr>
                <w:p>
                  <w:pPr>
                    <w:pStyle w:val="167"/>
                  </w:pPr>
                  <w: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pStyle w:val="167"/>
                  </w:pPr>
                  <w:r>
                    <w:t>1</w:t>
                  </w:r>
                </w:p>
              </w:tc>
              <w:tc>
                <w:tcPr>
                  <w:tcW w:w="3651" w:type="dxa"/>
                  <w:vAlign w:val="center"/>
                </w:tcPr>
                <w:p>
                  <w:pPr>
                    <w:pStyle w:val="167"/>
                  </w:pPr>
                  <w:r>
                    <w:t>第二十四条 在河道管理范围内，禁止修建围堤、阻水渠道、阻水道路；种植高</w:t>
                  </w:r>
                  <w:r>
                    <w:rPr>
                      <w:rFonts w:hint="eastAsia"/>
                      <w:lang w:eastAsia="zh-CN"/>
                    </w:rPr>
                    <w:t>秆</w:t>
                  </w:r>
                  <w:r>
                    <w:t>农作物、芦苇、杞柳、荻柴和树木（堤防防护林除外）；设置拦河渔具;弃置矿渣、石渣、煤灰、泥土、垃圾等。在堤防和护堤地，禁止建房、放牧、开渠、打井、挖害、葬坟、晒粮、存放物料、开采地下资源、进行考古发掘以及开展集市贸易活动。</w:t>
                  </w:r>
                </w:p>
              </w:tc>
              <w:tc>
                <w:tcPr>
                  <w:tcW w:w="3305" w:type="dxa"/>
                  <w:vAlign w:val="center"/>
                </w:tcPr>
                <w:p>
                  <w:pPr>
                    <w:pStyle w:val="167"/>
                  </w:pPr>
                  <w:r>
                    <w:t>本项目不涉及河道管理范围、堤防和护堤地。</w:t>
                  </w:r>
                </w:p>
              </w:tc>
              <w:tc>
                <w:tcPr>
                  <w:tcW w:w="517" w:type="dxa"/>
                  <w:vAlign w:val="center"/>
                </w:tcPr>
                <w:p>
                  <w:pPr>
                    <w:pStyle w:val="16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pStyle w:val="167"/>
                  </w:pPr>
                  <w:r>
                    <w:t>2</w:t>
                  </w:r>
                </w:p>
              </w:tc>
              <w:tc>
                <w:tcPr>
                  <w:tcW w:w="3651" w:type="dxa"/>
                  <w:vAlign w:val="center"/>
                </w:tcPr>
                <w:p>
                  <w:pPr>
                    <w:pStyle w:val="167"/>
                  </w:pPr>
                  <w:r>
                    <w:t>第二十五条 在河道管理范围内进行下列活动，必须报经河道主管机关批准;涉及其他部门的，由河道主管机关会同有关部门批准：</w:t>
                  </w:r>
                </w:p>
                <w:p>
                  <w:pPr>
                    <w:pStyle w:val="167"/>
                  </w:pPr>
                  <w:r>
                    <w:t>（一）采砂、取土、淘金、弃置砂石或者淤泥；</w:t>
                  </w:r>
                </w:p>
                <w:p>
                  <w:pPr>
                    <w:pStyle w:val="167"/>
                    <w:jc w:val="both"/>
                  </w:pPr>
                  <w:r>
                    <w:t>（二）爆破、钻探、挖筑鱼塘；</w:t>
                  </w:r>
                </w:p>
                <w:p>
                  <w:pPr>
                    <w:pStyle w:val="167"/>
                  </w:pPr>
                  <w:r>
                    <w:t>（三）在河道滩地存放物料、修建厂房或者其他建筑设施；</w:t>
                  </w:r>
                </w:p>
                <w:p>
                  <w:pPr>
                    <w:pStyle w:val="167"/>
                  </w:pPr>
                  <w:r>
                    <w:t>（四）在河道滩地开采地下资源及进行考古发掘。</w:t>
                  </w:r>
                </w:p>
              </w:tc>
              <w:tc>
                <w:tcPr>
                  <w:tcW w:w="3305" w:type="dxa"/>
                  <w:vAlign w:val="center"/>
                </w:tcPr>
                <w:p>
                  <w:pPr>
                    <w:pStyle w:val="167"/>
                  </w:pPr>
                  <w:r>
                    <w:t>本项目不涉及河道管理范围。</w:t>
                  </w:r>
                </w:p>
              </w:tc>
              <w:tc>
                <w:tcPr>
                  <w:tcW w:w="517" w:type="dxa"/>
                  <w:vAlign w:val="center"/>
                </w:tcPr>
                <w:p>
                  <w:pPr>
                    <w:pStyle w:val="16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pStyle w:val="167"/>
                  </w:pPr>
                  <w:r>
                    <w:t>3</w:t>
                  </w:r>
                </w:p>
              </w:tc>
              <w:tc>
                <w:tcPr>
                  <w:tcW w:w="3651" w:type="dxa"/>
                  <w:vAlign w:val="center"/>
                </w:tcPr>
                <w:p>
                  <w:pPr>
                    <w:pStyle w:val="167"/>
                  </w:pPr>
                  <w:r>
                    <w:t>第二十七条 禁止围湖造田。已经围垦的，应当按照国家规定的防洪标准进行治理，逐步退田还湖。湖泊的开发利用规划必须经河道主管机关审查同意。</w:t>
                  </w:r>
                </w:p>
              </w:tc>
              <w:tc>
                <w:tcPr>
                  <w:tcW w:w="3305" w:type="dxa"/>
                  <w:vAlign w:val="center"/>
                </w:tcPr>
                <w:p>
                  <w:pPr>
                    <w:pStyle w:val="167"/>
                  </w:pPr>
                  <w:r>
                    <w:t>本项目为沥青拌合站项目，云龙公路分局取得本地块使用证（详见附件4），不涉及维护造田和湖泊的开发利用规划。</w:t>
                  </w:r>
                </w:p>
              </w:tc>
              <w:tc>
                <w:tcPr>
                  <w:tcW w:w="517" w:type="dxa"/>
                  <w:vAlign w:val="center"/>
                </w:tcPr>
                <w:p>
                  <w:pPr>
                    <w:pStyle w:val="16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pStyle w:val="167"/>
                  </w:pPr>
                  <w:r>
                    <w:t>4</w:t>
                  </w:r>
                </w:p>
              </w:tc>
              <w:tc>
                <w:tcPr>
                  <w:tcW w:w="3651" w:type="dxa"/>
                  <w:vAlign w:val="center"/>
                </w:tcPr>
                <w:p>
                  <w:pPr>
                    <w:pStyle w:val="167"/>
                  </w:pPr>
                  <w:r>
                    <w:t>第二十九条，江河的故道、旧堤、原有工程设施等，不得擅自填堵、占用或者拆毁。</w:t>
                  </w:r>
                </w:p>
              </w:tc>
              <w:tc>
                <w:tcPr>
                  <w:tcW w:w="3305" w:type="dxa"/>
                  <w:vAlign w:val="center"/>
                </w:tcPr>
                <w:p>
                  <w:pPr>
                    <w:pStyle w:val="167"/>
                  </w:pPr>
                  <w:r>
                    <w:t>本项目为沥青拌合站项目，且已于2016年建设完成并投入运行，不存在填堵、占用或者拆毁江河的故道、旧堤、原有工程设施的行为。</w:t>
                  </w:r>
                </w:p>
              </w:tc>
              <w:tc>
                <w:tcPr>
                  <w:tcW w:w="517" w:type="dxa"/>
                  <w:vAlign w:val="center"/>
                </w:tcPr>
                <w:p>
                  <w:pPr>
                    <w:pStyle w:val="167"/>
                  </w:pPr>
                  <w:r>
                    <w:t>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pStyle w:val="167"/>
                  </w:pPr>
                  <w:r>
                    <w:t>5</w:t>
                  </w:r>
                </w:p>
              </w:tc>
              <w:tc>
                <w:tcPr>
                  <w:tcW w:w="3651" w:type="dxa"/>
                  <w:vAlign w:val="center"/>
                </w:tcPr>
                <w:p>
                  <w:pPr>
                    <w:pStyle w:val="167"/>
                  </w:pPr>
                  <w:r>
                    <w:t>第三十条 护堤护岸林木，由河道管理单位组织营造和管理，其他任何单位和个人不得侵占、砍伐或者破坏。</w:t>
                  </w:r>
                </w:p>
                <w:p>
                  <w:pPr>
                    <w:pStyle w:val="167"/>
                  </w:pPr>
                  <w:r>
                    <w:t>河道管理单位对护堤护岸林木进行抚育和更新性质的采伐及用于防汛抢险的采伐，根据国家有关规定免交育林基金。</w:t>
                  </w:r>
                </w:p>
              </w:tc>
              <w:tc>
                <w:tcPr>
                  <w:tcW w:w="3305" w:type="dxa"/>
                  <w:vAlign w:val="center"/>
                </w:tcPr>
                <w:p>
                  <w:pPr>
                    <w:pStyle w:val="167"/>
                  </w:pPr>
                  <w:r>
                    <w:t>本项目为沥青拌合站项目，且已于2016年建设完成并投入运行，不存在侵占、砍伐或者破坏护堤护岸林木的行为。</w:t>
                  </w:r>
                </w:p>
              </w:tc>
              <w:tc>
                <w:tcPr>
                  <w:tcW w:w="517" w:type="dxa"/>
                  <w:vAlign w:val="center"/>
                </w:tcPr>
                <w:p>
                  <w:pPr>
                    <w:pStyle w:val="167"/>
                  </w:pPr>
                  <w:r>
                    <w:t>符合</w:t>
                  </w:r>
                </w:p>
              </w:tc>
            </w:tr>
          </w:tbl>
          <w:p>
            <w:pPr>
              <w:pStyle w:val="108"/>
              <w:rPr>
                <w:color w:val="auto"/>
                <w:sz w:val="24"/>
              </w:rPr>
            </w:pPr>
            <w:r>
              <w:rPr>
                <w:color w:val="auto"/>
                <w:sz w:val="24"/>
              </w:rPr>
              <w:t>10、项目选址及平面布置合理性分析</w:t>
            </w:r>
          </w:p>
          <w:p>
            <w:pPr>
              <w:pStyle w:val="147"/>
            </w:pPr>
            <w:r>
              <w:t>（1）项目选址合理性分析</w:t>
            </w:r>
          </w:p>
          <w:p>
            <w:pPr>
              <w:pStyle w:val="147"/>
            </w:pPr>
            <w:r>
              <w:t>本项目位于大理白族自治州云龙县团结乡河南箐口，为农村地区。根据云龙县自然资源局出具的生态红线查询情况，项目区不涉及云南省生态保护红线。项目紧邻公路，交通便利；营运期污染物排放对其影响可被有效控制。本项目卫生防护距离范围内无环境保护目标，项目选址合理。</w:t>
            </w:r>
          </w:p>
          <w:p>
            <w:pPr>
              <w:pStyle w:val="147"/>
            </w:pPr>
            <w:r>
              <w:t>（2）项目平面布置合理性分析</w:t>
            </w:r>
          </w:p>
          <w:p>
            <w:pPr>
              <w:pStyle w:val="147"/>
            </w:pPr>
            <w:r>
              <w:t>根据现场调查，云龙公路分局沥青拌合站新建项目占地面积为2556㎡，整体呈矩形状；具体工程布置如下：项目不设置办公生活区、骨料和粉料堆场。项目主要生产区域布置于项目区中间区域和东北侧，沥青混合搅拌楼位于项目区中间区域，皮带给料器（料斗）和快速进料皮带机设置于项目区东北侧位于项目下风向，操控室设置于项目区西南侧位于项目上风向，危险废物暂存间位于项目区东南侧位于项目区侧风向，柴油储罐设置于项目区东侧，排气筒DA001和DA002设置于项目区东南侧位于侧风向，项目周边环境空气敏感点门阶村散户和云龙公路分局河南石料场公路养护配套改扩建项目生活区均位于本项目西北侧位于侧风向。本项目各生产单元布置合理，粉尘、燃烧废气和有机废气对本项目及周边环境空气敏感点的影响较小；初期雨水收集池设置于项目区东南侧低洼处，可有效收集雨天初期雨水。</w:t>
            </w:r>
          </w:p>
          <w:p>
            <w:pPr>
              <w:pStyle w:val="147"/>
            </w:pPr>
            <w:r>
              <w:t>综上，本项目平面布置合理。</w:t>
            </w:r>
          </w:p>
          <w:p>
            <w:pPr>
              <w:pStyle w:val="147"/>
            </w:pPr>
          </w:p>
          <w:p>
            <w:pPr>
              <w:pStyle w:val="147"/>
            </w:pPr>
          </w:p>
          <w:p>
            <w:pPr>
              <w:pStyle w:val="147"/>
            </w:pPr>
          </w:p>
          <w:p>
            <w:pPr>
              <w:pStyle w:val="147"/>
            </w:pPr>
          </w:p>
          <w:p>
            <w:pPr>
              <w:pStyle w:val="147"/>
            </w:pPr>
          </w:p>
          <w:p>
            <w:pPr>
              <w:pStyle w:val="147"/>
            </w:pPr>
          </w:p>
        </w:tc>
      </w:tr>
    </w:tbl>
    <w:p>
      <w:pPr>
        <w:pStyle w:val="2"/>
        <w:sectPr>
          <w:footerReference r:id="rId4" w:type="default"/>
          <w:pgSz w:w="11906" w:h="16838"/>
          <w:pgMar w:top="1701" w:right="1531" w:bottom="1701" w:left="1531" w:header="851" w:footer="1077" w:gutter="0"/>
          <w:pgNumType w:start="1"/>
          <w:cols w:space="720" w:num="1"/>
          <w:docGrid w:linePitch="312" w:charSpace="0"/>
        </w:sectPr>
      </w:pPr>
    </w:p>
    <w:p>
      <w:pPr>
        <w:pStyle w:val="24"/>
        <w:adjustRightInd w:val="0"/>
        <w:snapToGrid w:val="0"/>
        <w:spacing w:before="0" w:beforeAutospacing="0" w:after="0" w:afterAutospacing="0"/>
        <w:jc w:val="center"/>
        <w:outlineLvl w:val="0"/>
        <w:rPr>
          <w:rFonts w:ascii="Times New Roman" w:hAnsi="Times New Roman"/>
          <w:snapToGrid w:val="0"/>
          <w:sz w:val="30"/>
          <w:szCs w:val="30"/>
        </w:rPr>
      </w:pPr>
      <w:bookmarkStart w:id="8" w:name="_Toc22458"/>
      <w:bookmarkStart w:id="9" w:name="_Toc29095"/>
      <w:r>
        <w:rPr>
          <w:rFonts w:ascii="Times New Roman" w:hAnsi="Times New Roman"/>
          <w:b/>
          <w:bCs/>
          <w:snapToGrid w:val="0"/>
          <w:sz w:val="30"/>
          <w:szCs w:val="30"/>
        </w:rPr>
        <w:t>二、建设项目工程分析</w:t>
      </w:r>
      <w:bookmarkEnd w:id="8"/>
      <w:bookmarkEnd w:id="9"/>
    </w:p>
    <w:tbl>
      <w:tblPr>
        <w:tblStyle w:val="28"/>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 w:type="dxa"/>
            <w:vAlign w:val="center"/>
          </w:tcPr>
          <w:p>
            <w:pPr>
              <w:pStyle w:val="24"/>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建设内容</w:t>
            </w:r>
          </w:p>
        </w:tc>
        <w:tc>
          <w:tcPr>
            <w:tcW w:w="8606" w:type="dxa"/>
          </w:tcPr>
          <w:p>
            <w:pPr>
              <w:pStyle w:val="108"/>
              <w:rPr>
                <w:color w:val="auto"/>
              </w:rPr>
            </w:pPr>
            <w:r>
              <w:rPr>
                <w:color w:val="auto"/>
              </w:rPr>
              <w:t>2.1建设内容</w:t>
            </w:r>
          </w:p>
          <w:p>
            <w:pPr>
              <w:pStyle w:val="111"/>
            </w:pPr>
            <w:r>
              <w:t>2.1.1项目背景</w:t>
            </w:r>
          </w:p>
          <w:p>
            <w:pPr>
              <w:pStyle w:val="139"/>
              <w:ind w:firstLine="480"/>
            </w:pPr>
            <w:r>
              <w:t>云龙公路分局沥青拌合站新建项目位于云南省大理白族自治州云龙县G215线K3347河道右侧团结乡河南箐口，由云龙公路分局承建运营；其主要承担G215线K3325至G215线K3361路段养护，共计养护路段约136km。</w:t>
            </w:r>
          </w:p>
          <w:p>
            <w:pPr>
              <w:pStyle w:val="139"/>
              <w:ind w:firstLine="480"/>
              <w:rPr>
                <w:rStyle w:val="123"/>
              </w:rPr>
            </w:pPr>
            <w:r>
              <w:t>2016年5月，云龙公路分局取得本地块使用证（详见附件4）。2016年云龙公路分局于该地块进行“云龙公路分局沥青拌合站新建项目”的建设，并于2016年建设完成后投入运行生产。云龙公路分局沥青拌合站新建项目占地面积为2565㎡，主要建设有沥青搅拌楼1座，50t电加热沥青储存罐1只、10t常压柴油双层储存罐一只和危险废物暂存间等配套设施。云龙公路分局沥青拌合站新建项目建成运行至今，未开展环境影响评价工作，2023年12月17日云龙公路分局主动履行</w:t>
            </w:r>
            <w:r>
              <w:rPr>
                <w:lang w:bidi="ar"/>
              </w:rPr>
              <w:t>《中华人民共和国环境保护法》、《中华人民共和国环境影响评价法》、《建设项目环境保护管理条例》和《云南省建设项目环境保护管理规定》的规定，</w:t>
            </w:r>
            <w:r>
              <w:t>就沥青拌合站新建项目存在未办理环境影响评价手续等环境问题主动停运，</w:t>
            </w:r>
            <w:r>
              <w:rPr>
                <w:rStyle w:val="140"/>
              </w:rPr>
              <w:t>梳理项目存在的环境问题完成整改同时办理和完善环保手续</w:t>
            </w:r>
            <w:r>
              <w:t>；本项目</w:t>
            </w:r>
            <w:r>
              <w:rPr>
                <w:rStyle w:val="123"/>
              </w:rPr>
              <w:t>于2023年12月13日取得云龙县发展和改革局下发的《云南省固定资产投资项目备案证》（项目代码：2312-532929-04-05-894185）；项目建成后年生产沥青混凝土约1569吨。</w:t>
            </w:r>
          </w:p>
          <w:p>
            <w:pPr>
              <w:pStyle w:val="139"/>
              <w:ind w:firstLine="480"/>
              <w:rPr>
                <w:b/>
              </w:rPr>
            </w:pPr>
            <w:r>
              <w:rPr>
                <w:lang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根据《建设项目环境影响评价分类管理名录》（2021年版）的相关规定，本项目属于</w:t>
            </w:r>
            <w:r>
              <w:t>二十七、非金属矿物制品业 30，耐火材料制品制造308；石墨及其他非金属矿物制品制造309中“其他”</w:t>
            </w:r>
            <w:r>
              <w:rPr>
                <w:lang w:bidi="ar"/>
              </w:rPr>
              <w:t>，需编制环境影响评价报告表。</w:t>
            </w:r>
            <w:r>
              <w:rPr>
                <w:rStyle w:val="123"/>
              </w:rPr>
              <w:t>2024年3月6日大理州生态环境局云龙分局对项目现场进行检查，并于2024年4月7日出具了《关于云龙公路分局沥青拌合站建设项目环境违法行为的核查处理结果》：鉴于云龙县沥青拌合站新建项目建设至今未发生环境污染事故，无相关信访举报；云龙公路分局积极开展环评手续办理工作。处理结果如下：项目建成至今已超过两年，对“未批先建”违法行为不再进行追溯；你单位的“未验先投”行为属于首次违法，符合《中华人民共和国行政处罚法》第三十二条第一款:“当事人有下列情形之一，应当从轻或者减轻行政处罚。主动消除或者减轻违法行为危害后果的”可以减轻处罚、对环境危害较小的情形符合“首违不罚”条件，结合服务我县道路维修、搞好营商环境等工作要求，经我局班子会研究决定，对你单位“未验先投”行为不予处罚。目前，</w:t>
            </w:r>
            <w:r>
              <w:t>云龙公路分局</w:t>
            </w:r>
            <w:r>
              <w:rPr>
                <w:lang w:bidi="ar"/>
              </w:rPr>
              <w:t>委托我单位云南潓腾环保咨询有限责任公司承担该项目的环境影响报告表编制工作（委托书见附件1）。我单位接受委托后，根据国家建设项目环境管理</w:t>
            </w:r>
            <w:r>
              <w:t>的有关规定，对项目建设地周围环境状况进行了实地调查，收集及核实了当地有关环境资料，按照环境影响评价有关技术规范编制了《云龙公路分局沥青拌合站新建项目环境影响报告表》，供建设单位上报审批。</w:t>
            </w:r>
          </w:p>
          <w:p>
            <w:pPr>
              <w:pStyle w:val="108"/>
              <w:rPr>
                <w:color w:val="auto"/>
              </w:rPr>
            </w:pPr>
            <w:r>
              <w:rPr>
                <w:color w:val="auto"/>
              </w:rPr>
              <w:t>2.1.2项目概况</w:t>
            </w:r>
          </w:p>
          <w:p>
            <w:pPr>
              <w:pStyle w:val="147"/>
              <w:ind w:firstLine="482"/>
              <w:rPr>
                <w:rStyle w:val="140"/>
              </w:rPr>
            </w:pPr>
            <w:r>
              <w:rPr>
                <w:rStyle w:val="115"/>
              </w:rPr>
              <w:t>项目名称：</w:t>
            </w:r>
            <w:r>
              <w:rPr>
                <w:rStyle w:val="140"/>
              </w:rPr>
              <w:t>云龙公路分局沥青拌合站新建项目</w:t>
            </w:r>
          </w:p>
          <w:p>
            <w:pPr>
              <w:pStyle w:val="147"/>
              <w:ind w:firstLine="482"/>
              <w:rPr>
                <w:rStyle w:val="140"/>
              </w:rPr>
            </w:pPr>
            <w:r>
              <w:rPr>
                <w:rStyle w:val="115"/>
              </w:rPr>
              <w:t>建设地点：</w:t>
            </w:r>
            <w:r>
              <w:rPr>
                <w:rStyle w:val="140"/>
              </w:rPr>
              <w:t>云龙县团结乡河南箐口</w:t>
            </w:r>
          </w:p>
          <w:p>
            <w:pPr>
              <w:pStyle w:val="147"/>
              <w:ind w:firstLine="482"/>
              <w:rPr>
                <w:rStyle w:val="140"/>
              </w:rPr>
            </w:pPr>
            <w:r>
              <w:rPr>
                <w:rStyle w:val="115"/>
              </w:rPr>
              <w:t>建设单位：</w:t>
            </w:r>
            <w:r>
              <w:rPr>
                <w:rStyle w:val="140"/>
              </w:rPr>
              <w:t>云龙公路分局</w:t>
            </w:r>
          </w:p>
          <w:p>
            <w:pPr>
              <w:pStyle w:val="147"/>
              <w:ind w:firstLine="482"/>
              <w:rPr>
                <w:rStyle w:val="140"/>
              </w:rPr>
            </w:pPr>
            <w:r>
              <w:rPr>
                <w:rStyle w:val="115"/>
              </w:rPr>
              <w:t>建设性质：</w:t>
            </w:r>
            <w:r>
              <w:rPr>
                <w:rStyle w:val="140"/>
              </w:rPr>
              <w:t>新建</w:t>
            </w:r>
          </w:p>
          <w:p>
            <w:pPr>
              <w:pStyle w:val="147"/>
              <w:ind w:firstLine="482"/>
              <w:rPr>
                <w:rStyle w:val="140"/>
              </w:rPr>
            </w:pPr>
            <w:r>
              <w:rPr>
                <w:rStyle w:val="115"/>
              </w:rPr>
              <w:t>建设规模</w:t>
            </w:r>
            <w:r>
              <w:rPr>
                <w:rStyle w:val="140"/>
                <w:b/>
                <w:bCs/>
                <w:snapToGrid/>
              </w:rPr>
              <w:t>：</w:t>
            </w:r>
            <w:r>
              <w:rPr>
                <w:rStyle w:val="140"/>
              </w:rPr>
              <w:t>2016年云龙公路分局沥青拌合站开始建设，2016年5月建设完成开始投入运行。根据现场调查，沥青拌合站主要建有主要建有沥青搅拌楼、沥青储存罐等主体工程，以及危险废物暂存间、除尘系统等配套工程。砂石料骨料由本项目西侧约10m处的云龙公路分局河南石料场公路养护配套改扩建项目直接供给，本项目不设置物料暂存库；</w:t>
            </w:r>
          </w:p>
          <w:p>
            <w:pPr>
              <w:pStyle w:val="147"/>
              <w:rPr>
                <w:rStyle w:val="140"/>
              </w:rPr>
            </w:pPr>
            <w:r>
              <w:rPr>
                <w:rStyle w:val="140"/>
              </w:rPr>
              <w:t>本次评价为补办环评手续，同时梳理项目存在的环境问题并提出对应的整改意见和措施，完善项目环保工程。项目位于团结乡河南箐口，已于2016年5月建设完成并投入运行，无新增用地；存在的环境问题及相应整改措施见下文，表2-10；</w:t>
            </w:r>
          </w:p>
          <w:p>
            <w:pPr>
              <w:pStyle w:val="147"/>
              <w:ind w:firstLine="482"/>
              <w:rPr>
                <w:rStyle w:val="140"/>
              </w:rPr>
            </w:pPr>
            <w:r>
              <w:rPr>
                <w:rStyle w:val="115"/>
              </w:rPr>
              <w:t>工作制度及劳动定员：</w:t>
            </w:r>
            <w:r>
              <w:rPr>
                <w:rStyle w:val="140"/>
              </w:rPr>
              <w:t>项目年运行30天，主要集中在每年五月份和十月份，具体时间主要视道路维修养护需求而定，本项目阴雨天不生产，夜间不进行生产工作。项目生产作业人员5人，生产作业人员由云龙公路分局调拨。项目区不设置食堂及宿舍。</w:t>
            </w:r>
          </w:p>
          <w:p>
            <w:pPr>
              <w:pStyle w:val="139"/>
              <w:ind w:firstLine="482"/>
            </w:pPr>
            <w:r>
              <w:rPr>
                <w:rStyle w:val="115"/>
              </w:rPr>
              <w:t>用地面积：</w:t>
            </w:r>
            <w:r>
              <w:t>本项目</w:t>
            </w:r>
            <w:r>
              <w:rPr>
                <w:bCs/>
              </w:rPr>
              <w:t>占地面积2565</w:t>
            </w:r>
            <w:r>
              <w:t>m</w:t>
            </w:r>
            <w:r>
              <w:rPr>
                <w:vertAlign w:val="superscript"/>
              </w:rPr>
              <w:t>2</w:t>
            </w:r>
            <w:r>
              <w:t>，建筑面积</w:t>
            </w:r>
            <w:r>
              <w:rPr>
                <w:bCs/>
              </w:rPr>
              <w:t>1500</w:t>
            </w:r>
            <w:r>
              <w:t>m</w:t>
            </w:r>
            <w:r>
              <w:rPr>
                <w:vertAlign w:val="superscript"/>
              </w:rPr>
              <w:t>2</w:t>
            </w:r>
            <w:r>
              <w:t>。</w:t>
            </w:r>
          </w:p>
          <w:p>
            <w:pPr>
              <w:pStyle w:val="139"/>
              <w:ind w:firstLine="482"/>
            </w:pPr>
            <w:r>
              <w:rPr>
                <w:rStyle w:val="115"/>
              </w:rPr>
              <w:t>项目总投资：</w:t>
            </w:r>
            <w:r>
              <w:t>项目总投资129.8万元，其中环保投资43.6万元，占总投资的33.59%，项目环保投资情况见下表。</w:t>
            </w:r>
          </w:p>
          <w:p>
            <w:pPr>
              <w:pStyle w:val="108"/>
              <w:rPr>
                <w:color w:val="auto"/>
              </w:rPr>
            </w:pPr>
            <w:r>
              <w:rPr>
                <w:color w:val="auto"/>
              </w:rPr>
              <w:t>2.1.3主要建设内容</w:t>
            </w:r>
          </w:p>
          <w:p>
            <w:pPr>
              <w:pStyle w:val="111"/>
            </w:pPr>
            <w:r>
              <w:t>1.建设内容</w:t>
            </w:r>
          </w:p>
          <w:p>
            <w:pPr>
              <w:pStyle w:val="139"/>
              <w:ind w:firstLine="480"/>
            </w:pPr>
            <w:r>
              <w:t>工程建设内容见下表。</w:t>
            </w:r>
          </w:p>
          <w:p>
            <w:pPr>
              <w:pStyle w:val="168"/>
            </w:pPr>
            <w:r>
              <w:t>表2-1   项目组成一览表</w:t>
            </w:r>
          </w:p>
          <w:tbl>
            <w:tblPr>
              <w:tblStyle w:val="28"/>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26"/>
              <w:gridCol w:w="2246"/>
              <w:gridCol w:w="4423"/>
              <w:gridCol w:w="37"/>
              <w:gridCol w:w="627"/>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1" w:type="dxa"/>
                <w:trHeight w:val="20" w:hRule="atLeast"/>
                <w:jc w:val="center"/>
              </w:trPr>
              <w:tc>
                <w:tcPr>
                  <w:tcW w:w="628" w:type="dxa"/>
                  <w:vAlign w:val="center"/>
                </w:tcPr>
                <w:p>
                  <w:pPr>
                    <w:pStyle w:val="167"/>
                    <w:rPr>
                      <w:szCs w:val="21"/>
                    </w:rPr>
                  </w:pPr>
                  <w:r>
                    <w:rPr>
                      <w:szCs w:val="21"/>
                    </w:rPr>
                    <w:t>项目组成</w:t>
                  </w:r>
                </w:p>
              </w:tc>
              <w:tc>
                <w:tcPr>
                  <w:tcW w:w="2672" w:type="dxa"/>
                  <w:gridSpan w:val="2"/>
                  <w:vAlign w:val="center"/>
                </w:tcPr>
                <w:p>
                  <w:pPr>
                    <w:pStyle w:val="167"/>
                    <w:rPr>
                      <w:szCs w:val="21"/>
                    </w:rPr>
                  </w:pPr>
                  <w:r>
                    <w:rPr>
                      <w:szCs w:val="21"/>
                    </w:rPr>
                    <w:t>工程名称</w:t>
                  </w:r>
                </w:p>
              </w:tc>
              <w:tc>
                <w:tcPr>
                  <w:tcW w:w="4423" w:type="dxa"/>
                  <w:vAlign w:val="center"/>
                </w:tcPr>
                <w:p>
                  <w:pPr>
                    <w:pStyle w:val="167"/>
                    <w:rPr>
                      <w:szCs w:val="21"/>
                    </w:rPr>
                  </w:pPr>
                  <w:r>
                    <w:rPr>
                      <w:szCs w:val="21"/>
                    </w:rPr>
                    <w:t>建设内容</w:t>
                  </w:r>
                </w:p>
              </w:tc>
              <w:tc>
                <w:tcPr>
                  <w:tcW w:w="664" w:type="dxa"/>
                  <w:gridSpan w:val="2"/>
                  <w:vAlign w:val="center"/>
                </w:tcPr>
                <w:p>
                  <w:pPr>
                    <w:pStyle w:val="167"/>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0" w:hRule="atLeast"/>
                <w:jc w:val="center"/>
              </w:trPr>
              <w:tc>
                <w:tcPr>
                  <w:tcW w:w="628" w:type="dxa"/>
                  <w:vAlign w:val="center"/>
                </w:tcPr>
                <w:p>
                  <w:pPr>
                    <w:pStyle w:val="167"/>
                    <w:rPr>
                      <w:szCs w:val="21"/>
                    </w:rPr>
                  </w:pPr>
                  <w:r>
                    <w:rPr>
                      <w:szCs w:val="21"/>
                    </w:rPr>
                    <w:t>主体工程</w:t>
                  </w:r>
                </w:p>
              </w:tc>
              <w:tc>
                <w:tcPr>
                  <w:tcW w:w="2672" w:type="dxa"/>
                  <w:gridSpan w:val="2"/>
                  <w:vAlign w:val="center"/>
                </w:tcPr>
                <w:p>
                  <w:pPr>
                    <w:pStyle w:val="167"/>
                    <w:rPr>
                      <w:szCs w:val="21"/>
                    </w:rPr>
                  </w:pPr>
                  <w:r>
                    <w:rPr>
                      <w:szCs w:val="21"/>
                    </w:rPr>
                    <w:t>沥青混合料搅拌楼</w:t>
                  </w:r>
                </w:p>
              </w:tc>
              <w:tc>
                <w:tcPr>
                  <w:tcW w:w="4423" w:type="dxa"/>
                  <w:vAlign w:val="center"/>
                </w:tcPr>
                <w:p>
                  <w:pPr>
                    <w:pStyle w:val="167"/>
                    <w:rPr>
                      <w:szCs w:val="21"/>
                    </w:rPr>
                  </w:pPr>
                  <w:r>
                    <w:rPr>
                      <w:szCs w:val="21"/>
                    </w:rPr>
                    <w:t>沥青搅拌楼1座，位于项目区中间区域，型号为LB600，搅拌缸容量600kg，生产能力为50t/h。其配套有：冷料供给系统、干燥系统、搅拌楼体系统、中央控制系统以及布袋除尘系统，炒料工序采用CMRL800型油气两用燃烧机，并采用柴油作为燃烧介质。</w:t>
                  </w:r>
                </w:p>
              </w:tc>
              <w:tc>
                <w:tcPr>
                  <w:tcW w:w="664"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0" w:hRule="atLeast"/>
                <w:jc w:val="center"/>
              </w:trPr>
              <w:tc>
                <w:tcPr>
                  <w:tcW w:w="628" w:type="dxa"/>
                  <w:vMerge w:val="restart"/>
                  <w:vAlign w:val="center"/>
                </w:tcPr>
                <w:p>
                  <w:pPr>
                    <w:pStyle w:val="167"/>
                    <w:rPr>
                      <w:szCs w:val="21"/>
                    </w:rPr>
                  </w:pPr>
                  <w:r>
                    <w:rPr>
                      <w:szCs w:val="21"/>
                    </w:rPr>
                    <w:t>储运工程</w:t>
                  </w:r>
                </w:p>
              </w:tc>
              <w:tc>
                <w:tcPr>
                  <w:tcW w:w="2672" w:type="dxa"/>
                  <w:gridSpan w:val="2"/>
                  <w:vAlign w:val="center"/>
                </w:tcPr>
                <w:p>
                  <w:pPr>
                    <w:pStyle w:val="167"/>
                    <w:rPr>
                      <w:szCs w:val="21"/>
                    </w:rPr>
                  </w:pPr>
                  <w:r>
                    <w:rPr>
                      <w:szCs w:val="21"/>
                    </w:rPr>
                    <w:t>沥青存储罐</w:t>
                  </w:r>
                </w:p>
              </w:tc>
              <w:tc>
                <w:tcPr>
                  <w:tcW w:w="4423" w:type="dxa"/>
                  <w:vAlign w:val="center"/>
                </w:tcPr>
                <w:p>
                  <w:pPr>
                    <w:pStyle w:val="167"/>
                    <w:rPr>
                      <w:szCs w:val="21"/>
                    </w:rPr>
                  </w:pPr>
                  <w:r>
                    <w:rPr>
                      <w:szCs w:val="21"/>
                    </w:rPr>
                    <w:t>50t沥青电加热常压储存罐1只；沥青加热工序采用电能供热。</w:t>
                  </w:r>
                </w:p>
              </w:tc>
              <w:tc>
                <w:tcPr>
                  <w:tcW w:w="664"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90" w:hRule="atLeast"/>
                <w:jc w:val="center"/>
              </w:trPr>
              <w:tc>
                <w:tcPr>
                  <w:tcW w:w="628" w:type="dxa"/>
                  <w:vMerge w:val="continue"/>
                  <w:vAlign w:val="center"/>
                </w:tcPr>
                <w:p>
                  <w:pPr>
                    <w:pStyle w:val="167"/>
                    <w:rPr>
                      <w:szCs w:val="21"/>
                    </w:rPr>
                  </w:pPr>
                </w:p>
              </w:tc>
              <w:tc>
                <w:tcPr>
                  <w:tcW w:w="2672" w:type="dxa"/>
                  <w:gridSpan w:val="2"/>
                  <w:vAlign w:val="center"/>
                </w:tcPr>
                <w:p>
                  <w:pPr>
                    <w:pStyle w:val="167"/>
                    <w:rPr>
                      <w:szCs w:val="21"/>
                    </w:rPr>
                  </w:pPr>
                  <w:r>
                    <w:rPr>
                      <w:szCs w:val="21"/>
                    </w:rPr>
                    <w:t>柴油储罐</w:t>
                  </w:r>
                </w:p>
              </w:tc>
              <w:tc>
                <w:tcPr>
                  <w:tcW w:w="4423" w:type="dxa"/>
                  <w:vAlign w:val="center"/>
                </w:tcPr>
                <w:p>
                  <w:pPr>
                    <w:pStyle w:val="167"/>
                    <w:rPr>
                      <w:szCs w:val="21"/>
                    </w:rPr>
                  </w:pPr>
                  <w:r>
                    <w:rPr>
                      <w:szCs w:val="21"/>
                    </w:rPr>
                    <w:t>10t常压柴油双层储存罐1只；设置于储油库内用于营运期柴油暂存。</w:t>
                  </w:r>
                </w:p>
              </w:tc>
              <w:tc>
                <w:tcPr>
                  <w:tcW w:w="664"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0" w:hRule="atLeast"/>
                <w:jc w:val="center"/>
              </w:trPr>
              <w:tc>
                <w:tcPr>
                  <w:tcW w:w="628" w:type="dxa"/>
                  <w:vMerge w:val="continue"/>
                  <w:vAlign w:val="center"/>
                </w:tcPr>
                <w:p>
                  <w:pPr>
                    <w:pStyle w:val="167"/>
                    <w:rPr>
                      <w:szCs w:val="21"/>
                    </w:rPr>
                  </w:pPr>
                </w:p>
              </w:tc>
              <w:tc>
                <w:tcPr>
                  <w:tcW w:w="2672" w:type="dxa"/>
                  <w:gridSpan w:val="2"/>
                  <w:vAlign w:val="center"/>
                </w:tcPr>
                <w:p>
                  <w:pPr>
                    <w:pStyle w:val="167"/>
                    <w:rPr>
                      <w:szCs w:val="21"/>
                    </w:rPr>
                  </w:pPr>
                  <w:r>
                    <w:rPr>
                      <w:szCs w:val="21"/>
                    </w:rPr>
                    <w:t>项目区进厂道路</w:t>
                  </w:r>
                </w:p>
              </w:tc>
              <w:tc>
                <w:tcPr>
                  <w:tcW w:w="4423" w:type="dxa"/>
                  <w:vAlign w:val="center"/>
                </w:tcPr>
                <w:p>
                  <w:pPr>
                    <w:pStyle w:val="167"/>
                    <w:rPr>
                      <w:szCs w:val="21"/>
                    </w:rPr>
                  </w:pPr>
                  <w:r>
                    <w:rPr>
                      <w:szCs w:val="21"/>
                    </w:rPr>
                    <w:t>长度约300m，采用沥青混凝土或水泥混凝土硬化处理。</w:t>
                  </w:r>
                </w:p>
              </w:tc>
              <w:tc>
                <w:tcPr>
                  <w:tcW w:w="664" w:type="dxa"/>
                  <w:gridSpan w:val="2"/>
                  <w:vAlign w:val="center"/>
                </w:tcPr>
                <w:p>
                  <w:pPr>
                    <w:pStyle w:val="167"/>
                    <w:rPr>
                      <w:szCs w:val="21"/>
                    </w:rPr>
                  </w:pPr>
                  <w:r>
                    <w:rPr>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0" w:hRule="atLeast"/>
                <w:jc w:val="center"/>
              </w:trPr>
              <w:tc>
                <w:tcPr>
                  <w:tcW w:w="628" w:type="dxa"/>
                  <w:vAlign w:val="center"/>
                </w:tcPr>
                <w:p>
                  <w:pPr>
                    <w:pStyle w:val="167"/>
                    <w:rPr>
                      <w:szCs w:val="21"/>
                    </w:rPr>
                  </w:pPr>
                  <w:r>
                    <w:rPr>
                      <w:szCs w:val="21"/>
                    </w:rPr>
                    <w:t>辅助工程</w:t>
                  </w:r>
                </w:p>
              </w:tc>
              <w:tc>
                <w:tcPr>
                  <w:tcW w:w="2672" w:type="dxa"/>
                  <w:gridSpan w:val="2"/>
                  <w:vAlign w:val="center"/>
                </w:tcPr>
                <w:p>
                  <w:pPr>
                    <w:pStyle w:val="167"/>
                    <w:rPr>
                      <w:szCs w:val="21"/>
                    </w:rPr>
                  </w:pPr>
                  <w:r>
                    <w:rPr>
                      <w:szCs w:val="21"/>
                    </w:rPr>
                    <w:t>操控室</w:t>
                  </w:r>
                </w:p>
              </w:tc>
              <w:tc>
                <w:tcPr>
                  <w:tcW w:w="4423" w:type="dxa"/>
                  <w:vAlign w:val="center"/>
                </w:tcPr>
                <w:p>
                  <w:pPr>
                    <w:pStyle w:val="167"/>
                    <w:rPr>
                      <w:szCs w:val="21"/>
                    </w:rPr>
                  </w:pPr>
                  <w:r>
                    <w:rPr>
                      <w:szCs w:val="21"/>
                    </w:rPr>
                    <w:t>操控室位于沥青搅拌楼南侧，占地面积约4m²，为活动板房。</w:t>
                  </w:r>
                </w:p>
              </w:tc>
              <w:tc>
                <w:tcPr>
                  <w:tcW w:w="664"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0" w:hRule="atLeast"/>
                <w:jc w:val="center"/>
              </w:trPr>
              <w:tc>
                <w:tcPr>
                  <w:tcW w:w="628" w:type="dxa"/>
                  <w:vMerge w:val="restart"/>
                  <w:vAlign w:val="center"/>
                </w:tcPr>
                <w:p>
                  <w:pPr>
                    <w:pStyle w:val="167"/>
                    <w:rPr>
                      <w:szCs w:val="21"/>
                    </w:rPr>
                  </w:pPr>
                  <w:r>
                    <w:rPr>
                      <w:szCs w:val="21"/>
                    </w:rPr>
                    <w:t>公用工程</w:t>
                  </w:r>
                </w:p>
              </w:tc>
              <w:tc>
                <w:tcPr>
                  <w:tcW w:w="2672" w:type="dxa"/>
                  <w:gridSpan w:val="2"/>
                  <w:vAlign w:val="center"/>
                </w:tcPr>
                <w:p>
                  <w:pPr>
                    <w:pStyle w:val="167"/>
                    <w:rPr>
                      <w:szCs w:val="21"/>
                    </w:rPr>
                  </w:pPr>
                  <w:r>
                    <w:rPr>
                      <w:szCs w:val="21"/>
                    </w:rPr>
                    <w:t>供水</w:t>
                  </w:r>
                </w:p>
              </w:tc>
              <w:tc>
                <w:tcPr>
                  <w:tcW w:w="4423" w:type="dxa"/>
                  <w:vAlign w:val="center"/>
                </w:tcPr>
                <w:p>
                  <w:pPr>
                    <w:pStyle w:val="167"/>
                    <w:rPr>
                      <w:szCs w:val="21"/>
                    </w:rPr>
                  </w:pPr>
                  <w:r>
                    <w:rPr>
                      <w:szCs w:val="21"/>
                    </w:rPr>
                    <w:t>由周边山箐水供给，管线已建成并投入使用。</w:t>
                  </w:r>
                </w:p>
              </w:tc>
              <w:tc>
                <w:tcPr>
                  <w:tcW w:w="664"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0" w:hRule="atLeast"/>
                <w:jc w:val="center"/>
              </w:trPr>
              <w:tc>
                <w:tcPr>
                  <w:tcW w:w="628" w:type="dxa"/>
                  <w:vMerge w:val="continue"/>
                  <w:vAlign w:val="center"/>
                </w:tcPr>
                <w:p>
                  <w:pPr>
                    <w:pStyle w:val="167"/>
                    <w:rPr>
                      <w:szCs w:val="21"/>
                    </w:rPr>
                  </w:pPr>
                </w:p>
              </w:tc>
              <w:tc>
                <w:tcPr>
                  <w:tcW w:w="2672" w:type="dxa"/>
                  <w:gridSpan w:val="2"/>
                  <w:vAlign w:val="center"/>
                </w:tcPr>
                <w:p>
                  <w:pPr>
                    <w:pStyle w:val="167"/>
                    <w:rPr>
                      <w:szCs w:val="21"/>
                    </w:rPr>
                  </w:pPr>
                  <w:r>
                    <w:rPr>
                      <w:szCs w:val="21"/>
                    </w:rPr>
                    <w:t>排水</w:t>
                  </w:r>
                </w:p>
              </w:tc>
              <w:tc>
                <w:tcPr>
                  <w:tcW w:w="4423" w:type="dxa"/>
                  <w:vAlign w:val="center"/>
                </w:tcPr>
                <w:p>
                  <w:pPr>
                    <w:pStyle w:val="167"/>
                    <w:rPr>
                      <w:szCs w:val="21"/>
                    </w:rPr>
                  </w:pPr>
                  <w:r>
                    <w:rPr>
                      <w:szCs w:val="21"/>
                    </w:rPr>
                    <w:t>采用“雨污分流”的排水方式，于项目东南侧设置1个容积为30m³初期雨水收集池，用于收集处理项目区初期雨水；于项目区设置1只容积为2m³废水储罐，用于收集喷淋塔循环废水；生活污水依托</w:t>
                  </w:r>
                  <w:r>
                    <w:rPr>
                      <w:rStyle w:val="140"/>
                      <w:sz w:val="21"/>
                      <w:szCs w:val="21"/>
                    </w:rPr>
                    <w:t>云龙公路分局河南石料场公路养护配套改扩建项目旱厕。</w:t>
                  </w:r>
                </w:p>
              </w:tc>
              <w:tc>
                <w:tcPr>
                  <w:tcW w:w="664"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0" w:hRule="atLeast"/>
                <w:jc w:val="center"/>
              </w:trPr>
              <w:tc>
                <w:tcPr>
                  <w:tcW w:w="628" w:type="dxa"/>
                  <w:vMerge w:val="continue"/>
                  <w:vAlign w:val="center"/>
                </w:tcPr>
                <w:p>
                  <w:pPr>
                    <w:pStyle w:val="167"/>
                    <w:rPr>
                      <w:szCs w:val="21"/>
                    </w:rPr>
                  </w:pPr>
                </w:p>
              </w:tc>
              <w:tc>
                <w:tcPr>
                  <w:tcW w:w="2672" w:type="dxa"/>
                  <w:gridSpan w:val="2"/>
                  <w:vAlign w:val="center"/>
                </w:tcPr>
                <w:p>
                  <w:pPr>
                    <w:pStyle w:val="167"/>
                    <w:rPr>
                      <w:szCs w:val="21"/>
                    </w:rPr>
                  </w:pPr>
                  <w:r>
                    <w:rPr>
                      <w:szCs w:val="21"/>
                    </w:rPr>
                    <w:t>供电</w:t>
                  </w:r>
                </w:p>
              </w:tc>
              <w:tc>
                <w:tcPr>
                  <w:tcW w:w="4423" w:type="dxa"/>
                  <w:vAlign w:val="center"/>
                </w:tcPr>
                <w:p>
                  <w:pPr>
                    <w:pStyle w:val="167"/>
                    <w:rPr>
                      <w:szCs w:val="21"/>
                    </w:rPr>
                  </w:pPr>
                  <w:r>
                    <w:rPr>
                      <w:szCs w:val="21"/>
                    </w:rPr>
                    <w:t>项目用电由云龙县供电电网接入，现已建设完成并投入使用。</w:t>
                  </w:r>
                </w:p>
              </w:tc>
              <w:tc>
                <w:tcPr>
                  <w:tcW w:w="664"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0" w:hRule="atLeast"/>
                <w:jc w:val="center"/>
              </w:trPr>
              <w:tc>
                <w:tcPr>
                  <w:tcW w:w="628" w:type="dxa"/>
                  <w:vMerge w:val="continue"/>
                  <w:vAlign w:val="center"/>
                </w:tcPr>
                <w:p>
                  <w:pPr>
                    <w:pStyle w:val="167"/>
                    <w:rPr>
                      <w:szCs w:val="21"/>
                    </w:rPr>
                  </w:pPr>
                </w:p>
              </w:tc>
              <w:tc>
                <w:tcPr>
                  <w:tcW w:w="2672" w:type="dxa"/>
                  <w:gridSpan w:val="2"/>
                  <w:vAlign w:val="center"/>
                </w:tcPr>
                <w:p>
                  <w:pPr>
                    <w:pStyle w:val="167"/>
                    <w:rPr>
                      <w:szCs w:val="21"/>
                    </w:rPr>
                  </w:pPr>
                  <w:r>
                    <w:rPr>
                      <w:szCs w:val="21"/>
                    </w:rPr>
                    <w:t>供热</w:t>
                  </w:r>
                </w:p>
              </w:tc>
              <w:tc>
                <w:tcPr>
                  <w:tcW w:w="4423" w:type="dxa"/>
                  <w:vAlign w:val="center"/>
                </w:tcPr>
                <w:p>
                  <w:pPr>
                    <w:pStyle w:val="167"/>
                    <w:rPr>
                      <w:szCs w:val="21"/>
                    </w:rPr>
                  </w:pPr>
                  <w:r>
                    <w:rPr>
                      <w:szCs w:val="21"/>
                    </w:rPr>
                    <w:t>炒料烘干工序所需热能由燃烧机燃烧柴油提供，沥青加热所需热能由电能提供。</w:t>
                  </w:r>
                </w:p>
              </w:tc>
              <w:tc>
                <w:tcPr>
                  <w:tcW w:w="664"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628" w:type="dxa"/>
                  <w:vMerge w:val="restart"/>
                  <w:vAlign w:val="center"/>
                </w:tcPr>
                <w:p>
                  <w:pPr>
                    <w:pStyle w:val="167"/>
                    <w:rPr>
                      <w:szCs w:val="21"/>
                    </w:rPr>
                  </w:pPr>
                  <w:r>
                    <w:rPr>
                      <w:szCs w:val="21"/>
                    </w:rPr>
                    <w:t>环保工程</w:t>
                  </w:r>
                </w:p>
              </w:tc>
              <w:tc>
                <w:tcPr>
                  <w:tcW w:w="426" w:type="dxa"/>
                  <w:vMerge w:val="restart"/>
                  <w:vAlign w:val="center"/>
                </w:tcPr>
                <w:p>
                  <w:pPr>
                    <w:pStyle w:val="167"/>
                    <w:rPr>
                      <w:szCs w:val="21"/>
                    </w:rPr>
                  </w:pPr>
                  <w:r>
                    <w:rPr>
                      <w:szCs w:val="21"/>
                    </w:rPr>
                    <w:t>废气</w:t>
                  </w:r>
                </w:p>
              </w:tc>
              <w:tc>
                <w:tcPr>
                  <w:tcW w:w="2246" w:type="dxa"/>
                </w:tcPr>
                <w:p>
                  <w:pPr>
                    <w:pStyle w:val="167"/>
                    <w:rPr>
                      <w:szCs w:val="21"/>
                    </w:rPr>
                  </w:pPr>
                  <w:r>
                    <w:rPr>
                      <w:szCs w:val="21"/>
                    </w:rPr>
                    <w:t>皮带给料器（料斗）粉尘（上料）</w:t>
                  </w:r>
                </w:p>
              </w:tc>
              <w:tc>
                <w:tcPr>
                  <w:tcW w:w="4460" w:type="dxa"/>
                  <w:gridSpan w:val="2"/>
                </w:tcPr>
                <w:p>
                  <w:pPr>
                    <w:pStyle w:val="167"/>
                    <w:rPr>
                      <w:szCs w:val="21"/>
                    </w:rPr>
                  </w:pPr>
                  <w:r>
                    <w:rPr>
                      <w:szCs w:val="21"/>
                    </w:rPr>
                    <w:t>皮带给料器（料斗）采用彩钢瓦封闭进行三面封闭，并设置喷淋装置</w:t>
                  </w:r>
                </w:p>
              </w:tc>
              <w:tc>
                <w:tcPr>
                  <w:tcW w:w="658" w:type="dxa"/>
                  <w:gridSpan w:val="2"/>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冷料传输粉尘</w:t>
                  </w:r>
                </w:p>
              </w:tc>
              <w:tc>
                <w:tcPr>
                  <w:tcW w:w="4460" w:type="dxa"/>
                  <w:gridSpan w:val="2"/>
                  <w:vAlign w:val="center"/>
                </w:tcPr>
                <w:p>
                  <w:pPr>
                    <w:pStyle w:val="167"/>
                    <w:rPr>
                      <w:szCs w:val="21"/>
                    </w:rPr>
                  </w:pPr>
                  <w:r>
                    <w:rPr>
                      <w:szCs w:val="21"/>
                    </w:rPr>
                    <w:t>皮带输送机采用彩钢瓦封闭进行密闭</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干燥滚筒粉尘</w:t>
                  </w:r>
                </w:p>
              </w:tc>
              <w:tc>
                <w:tcPr>
                  <w:tcW w:w="4460" w:type="dxa"/>
                  <w:gridSpan w:val="2"/>
                  <w:vAlign w:val="center"/>
                </w:tcPr>
                <w:p>
                  <w:pPr>
                    <w:pStyle w:val="167"/>
                    <w:rPr>
                      <w:szCs w:val="21"/>
                    </w:rPr>
                  </w:pPr>
                  <w:r>
                    <w:rPr>
                      <w:szCs w:val="21"/>
                    </w:rPr>
                    <w:t>干燥滚筒内炒料粉尘和炒料工序产生的废气经收集后由两级除尘系统（重力除尘系统+大气反吹式布袋除尘器）处理并通过15m高排气筒DA001有组织排放。</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燃烧废气</w:t>
                  </w:r>
                </w:p>
              </w:tc>
              <w:tc>
                <w:tcPr>
                  <w:tcW w:w="4460" w:type="dxa"/>
                  <w:gridSpan w:val="2"/>
                  <w:vAlign w:val="center"/>
                </w:tcPr>
                <w:p>
                  <w:pPr>
                    <w:pStyle w:val="167"/>
                    <w:rPr>
                      <w:szCs w:val="21"/>
                    </w:rPr>
                  </w:pPr>
                  <w:r>
                    <w:rPr>
                      <w:szCs w:val="21"/>
                    </w:rPr>
                    <w:t>油气两用燃烧机产生的燃烧废气经收集后由两级除尘系统（重力除尘系统+大气反吹式布袋除尘器）处理并通过15m高排气筒DA001有组织排放。</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沥青储罐呼吸废气</w:t>
                  </w:r>
                </w:p>
              </w:tc>
              <w:tc>
                <w:tcPr>
                  <w:tcW w:w="4460" w:type="dxa"/>
                  <w:gridSpan w:val="2"/>
                  <w:vAlign w:val="center"/>
                </w:tcPr>
                <w:p>
                  <w:pPr>
                    <w:pStyle w:val="167"/>
                    <w:rPr>
                      <w:szCs w:val="21"/>
                    </w:rPr>
                  </w:pPr>
                  <w:r>
                    <w:rPr>
                      <w:szCs w:val="21"/>
                    </w:rPr>
                    <w:t>沥青储罐呼吸孔设置专用排气管道，呼吸废气经管道引至“喷淋塔+活性炭二级吸附装置”处理后通过管道引至15m高排气筒DA002有组织排放。</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柴油储罐呼吸废气</w:t>
                  </w:r>
                </w:p>
              </w:tc>
              <w:tc>
                <w:tcPr>
                  <w:tcW w:w="4460" w:type="dxa"/>
                  <w:gridSpan w:val="2"/>
                  <w:vAlign w:val="center"/>
                </w:tcPr>
                <w:p>
                  <w:pPr>
                    <w:pStyle w:val="167"/>
                    <w:rPr>
                      <w:szCs w:val="21"/>
                    </w:rPr>
                  </w:pPr>
                  <w:r>
                    <w:rPr>
                      <w:szCs w:val="21"/>
                    </w:rPr>
                    <w:t>柴油储罐呼吸孔设置专用排气管道，呼吸废气经管道引至“喷淋塔+活性炭二级吸附装置”处理后通过管道引至15m高排气筒DA002有组织排放。</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搅拌废气</w:t>
                  </w:r>
                </w:p>
              </w:tc>
              <w:tc>
                <w:tcPr>
                  <w:tcW w:w="4460" w:type="dxa"/>
                  <w:gridSpan w:val="2"/>
                  <w:vAlign w:val="center"/>
                </w:tcPr>
                <w:p>
                  <w:pPr>
                    <w:pStyle w:val="167"/>
                    <w:rPr>
                      <w:szCs w:val="21"/>
                    </w:rPr>
                  </w:pPr>
                  <w:r>
                    <w:rPr>
                      <w:szCs w:val="21"/>
                    </w:rPr>
                    <w:t>搅拌缸卸料口设置集气罩和排气管道，搅拌废气经管道引至“喷淋塔+活性炭二级吸附装置”处理后通过管道引至15m高排气筒DA002有组织排放。</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restart"/>
                  <w:vAlign w:val="center"/>
                </w:tcPr>
                <w:p>
                  <w:pPr>
                    <w:pStyle w:val="167"/>
                    <w:rPr>
                      <w:szCs w:val="21"/>
                    </w:rPr>
                  </w:pPr>
                  <w:r>
                    <w:rPr>
                      <w:szCs w:val="21"/>
                    </w:rPr>
                    <w:t>废水</w:t>
                  </w:r>
                </w:p>
              </w:tc>
              <w:tc>
                <w:tcPr>
                  <w:tcW w:w="2246" w:type="dxa"/>
                  <w:vAlign w:val="center"/>
                </w:tcPr>
                <w:p>
                  <w:pPr>
                    <w:pStyle w:val="167"/>
                    <w:rPr>
                      <w:szCs w:val="21"/>
                    </w:rPr>
                  </w:pPr>
                  <w:r>
                    <w:rPr>
                      <w:szCs w:val="21"/>
                    </w:rPr>
                    <w:t>初期雨水</w:t>
                  </w:r>
                </w:p>
              </w:tc>
              <w:tc>
                <w:tcPr>
                  <w:tcW w:w="4460" w:type="dxa"/>
                  <w:gridSpan w:val="2"/>
                  <w:vAlign w:val="center"/>
                </w:tcPr>
                <w:p>
                  <w:pPr>
                    <w:pStyle w:val="167"/>
                    <w:rPr>
                      <w:szCs w:val="21"/>
                    </w:rPr>
                  </w:pPr>
                  <w:r>
                    <w:rPr>
                      <w:szCs w:val="21"/>
                    </w:rPr>
                    <w:t>项目区四周设置雨水沟，长度约120m，并于项目区东南侧低洼处设置1座容积为30m³初期雨水收集池。</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生活污水</w:t>
                  </w:r>
                </w:p>
              </w:tc>
              <w:tc>
                <w:tcPr>
                  <w:tcW w:w="4460" w:type="dxa"/>
                  <w:gridSpan w:val="2"/>
                  <w:vAlign w:val="center"/>
                </w:tcPr>
                <w:p>
                  <w:pPr>
                    <w:pStyle w:val="167"/>
                    <w:rPr>
                      <w:szCs w:val="21"/>
                    </w:rPr>
                  </w:pPr>
                  <w:r>
                    <w:rPr>
                      <w:szCs w:val="21"/>
                    </w:rPr>
                    <w:t>生活污水依托云龙公路分局河南石料场公路养护配套改扩建项目旱厕。</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rStyle w:val="102"/>
                      <w:szCs w:val="21"/>
                    </w:rPr>
                    <w:t>喷淋塔循环废水</w:t>
                  </w:r>
                </w:p>
              </w:tc>
              <w:tc>
                <w:tcPr>
                  <w:tcW w:w="4460" w:type="dxa"/>
                  <w:gridSpan w:val="2"/>
                  <w:vAlign w:val="center"/>
                </w:tcPr>
                <w:p>
                  <w:pPr>
                    <w:pStyle w:val="167"/>
                    <w:rPr>
                      <w:szCs w:val="21"/>
                    </w:rPr>
                  </w:pPr>
                  <w:r>
                    <w:rPr>
                      <w:szCs w:val="21"/>
                    </w:rPr>
                    <w:t>设置1只容积为2m³废水储罐，用于收集喷淋塔循环废水。</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Align w:val="center"/>
                </w:tcPr>
                <w:p>
                  <w:pPr>
                    <w:pStyle w:val="167"/>
                    <w:rPr>
                      <w:szCs w:val="21"/>
                    </w:rPr>
                  </w:pPr>
                  <w:r>
                    <w:rPr>
                      <w:szCs w:val="21"/>
                    </w:rPr>
                    <w:t>噪声</w:t>
                  </w:r>
                </w:p>
              </w:tc>
              <w:tc>
                <w:tcPr>
                  <w:tcW w:w="2246" w:type="dxa"/>
                  <w:vAlign w:val="center"/>
                </w:tcPr>
                <w:p>
                  <w:pPr>
                    <w:pStyle w:val="167"/>
                    <w:rPr>
                      <w:szCs w:val="21"/>
                    </w:rPr>
                  </w:pPr>
                  <w:r>
                    <w:rPr>
                      <w:szCs w:val="21"/>
                    </w:rPr>
                    <w:t>机械噪声</w:t>
                  </w:r>
                </w:p>
              </w:tc>
              <w:tc>
                <w:tcPr>
                  <w:tcW w:w="4460" w:type="dxa"/>
                  <w:gridSpan w:val="2"/>
                  <w:vAlign w:val="center"/>
                </w:tcPr>
                <w:p>
                  <w:pPr>
                    <w:pStyle w:val="167"/>
                    <w:rPr>
                      <w:szCs w:val="21"/>
                    </w:rPr>
                  </w:pPr>
                  <w:r>
                    <w:rPr>
                      <w:szCs w:val="21"/>
                    </w:rPr>
                    <w:t>采用低噪声设备、合理布局，采取减振、建筑隔声等综合降噪措施。</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restart"/>
                  <w:vAlign w:val="center"/>
                </w:tcPr>
                <w:p>
                  <w:pPr>
                    <w:pStyle w:val="167"/>
                    <w:rPr>
                      <w:szCs w:val="21"/>
                    </w:rPr>
                  </w:pPr>
                  <w:r>
                    <w:rPr>
                      <w:szCs w:val="21"/>
                    </w:rPr>
                    <w:t>固废</w:t>
                  </w:r>
                </w:p>
              </w:tc>
              <w:tc>
                <w:tcPr>
                  <w:tcW w:w="2246" w:type="dxa"/>
                  <w:vAlign w:val="center"/>
                </w:tcPr>
                <w:p>
                  <w:pPr>
                    <w:pStyle w:val="167"/>
                    <w:rPr>
                      <w:szCs w:val="21"/>
                    </w:rPr>
                  </w:pPr>
                  <w:r>
                    <w:rPr>
                      <w:szCs w:val="21"/>
                    </w:rPr>
                    <w:t>生活垃圾（900-999-99）</w:t>
                  </w:r>
                </w:p>
              </w:tc>
              <w:tc>
                <w:tcPr>
                  <w:tcW w:w="4460" w:type="dxa"/>
                  <w:gridSpan w:val="2"/>
                  <w:vAlign w:val="center"/>
                </w:tcPr>
                <w:p>
                  <w:pPr>
                    <w:pStyle w:val="167"/>
                    <w:rPr>
                      <w:szCs w:val="21"/>
                    </w:rPr>
                  </w:pPr>
                  <w:r>
                    <w:rPr>
                      <w:szCs w:val="21"/>
                    </w:rPr>
                    <w:t>设置垃圾收集桶2个，用于收集生活垃圾</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滴漏沥青、拌合残渣</w:t>
                  </w:r>
                </w:p>
              </w:tc>
              <w:tc>
                <w:tcPr>
                  <w:tcW w:w="4460" w:type="dxa"/>
                  <w:gridSpan w:val="2"/>
                  <w:vAlign w:val="center"/>
                </w:tcPr>
                <w:p>
                  <w:pPr>
                    <w:pStyle w:val="167"/>
                    <w:rPr>
                      <w:szCs w:val="21"/>
                    </w:rPr>
                  </w:pPr>
                  <w:r>
                    <w:rPr>
                      <w:szCs w:val="21"/>
                    </w:rPr>
                    <w:t>收集后清运至云龙公路分局废料堆弃场堆存处置</w:t>
                  </w:r>
                </w:p>
              </w:tc>
              <w:tc>
                <w:tcPr>
                  <w:tcW w:w="658" w:type="dxa"/>
                  <w:gridSpan w:val="2"/>
                  <w:vAlign w:val="center"/>
                </w:tcPr>
                <w:p>
                  <w:pPr>
                    <w:pStyle w:val="167"/>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除尘器系统粉尘</w:t>
                  </w:r>
                </w:p>
              </w:tc>
              <w:tc>
                <w:tcPr>
                  <w:tcW w:w="4460" w:type="dxa"/>
                  <w:gridSpan w:val="2"/>
                  <w:vAlign w:val="center"/>
                </w:tcPr>
                <w:p>
                  <w:pPr>
                    <w:pStyle w:val="167"/>
                    <w:rPr>
                      <w:szCs w:val="21"/>
                    </w:rPr>
                  </w:pPr>
                  <w:r>
                    <w:rPr>
                      <w:szCs w:val="21"/>
                    </w:rPr>
                    <w:t>定期清理收集后回用于生产。</w:t>
                  </w:r>
                </w:p>
              </w:tc>
              <w:tc>
                <w:tcPr>
                  <w:tcW w:w="658" w:type="dxa"/>
                  <w:gridSpan w:val="2"/>
                  <w:vAlign w:val="center"/>
                </w:tcPr>
                <w:p>
                  <w:pPr>
                    <w:pStyle w:val="167"/>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废导热油（HW08-900-249-08）</w:t>
                  </w:r>
                </w:p>
              </w:tc>
              <w:tc>
                <w:tcPr>
                  <w:tcW w:w="4460" w:type="dxa"/>
                  <w:gridSpan w:val="2"/>
                  <w:vMerge w:val="restart"/>
                  <w:vAlign w:val="center"/>
                </w:tcPr>
                <w:p>
                  <w:pPr>
                    <w:pStyle w:val="167"/>
                    <w:rPr>
                      <w:szCs w:val="21"/>
                    </w:rPr>
                  </w:pPr>
                  <w:r>
                    <w:rPr>
                      <w:szCs w:val="21"/>
                    </w:rPr>
                    <w:t>设置危险废物暂存间1间，位于沥青搅拌楼北侧，1F，砖混结构，</w:t>
                  </w:r>
                  <w:r>
                    <w:rPr>
                      <w:szCs w:val="21"/>
                      <w:lang w:bidi="ar"/>
                    </w:rPr>
                    <w:t>建筑面积5㎡，按要求进行</w:t>
                  </w:r>
                  <w:r>
                    <w:rPr>
                      <w:szCs w:val="21"/>
                    </w:rPr>
                    <w:t>重点防渗并配套2个危险废物专用收集容器，用于危险废物暂存。</w:t>
                  </w:r>
                </w:p>
              </w:tc>
              <w:tc>
                <w:tcPr>
                  <w:tcW w:w="658" w:type="dxa"/>
                  <w:gridSpan w:val="2"/>
                  <w:vMerge w:val="restart"/>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废润滑油（HW08-900-217-08）</w:t>
                  </w:r>
                </w:p>
              </w:tc>
              <w:tc>
                <w:tcPr>
                  <w:tcW w:w="4460" w:type="dxa"/>
                  <w:gridSpan w:val="2"/>
                  <w:vMerge w:val="continue"/>
                  <w:vAlign w:val="center"/>
                </w:tcPr>
                <w:p>
                  <w:pPr>
                    <w:pStyle w:val="167"/>
                    <w:rPr>
                      <w:szCs w:val="21"/>
                      <w:vertAlign w:val="subscript"/>
                    </w:rPr>
                  </w:pPr>
                </w:p>
              </w:tc>
              <w:tc>
                <w:tcPr>
                  <w:tcW w:w="658" w:type="dxa"/>
                  <w:gridSpan w:val="2"/>
                  <w:vMerge w:val="continue"/>
                  <w:vAlign w:val="center"/>
                </w:tcPr>
                <w:p>
                  <w:pPr>
                    <w:pStyle w:val="167"/>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废活性炭（HW49-900-039-49）</w:t>
                  </w:r>
                </w:p>
              </w:tc>
              <w:tc>
                <w:tcPr>
                  <w:tcW w:w="4460" w:type="dxa"/>
                  <w:gridSpan w:val="2"/>
                  <w:vMerge w:val="continue"/>
                  <w:vAlign w:val="center"/>
                </w:tcPr>
                <w:p>
                  <w:pPr>
                    <w:pStyle w:val="167"/>
                    <w:rPr>
                      <w:szCs w:val="21"/>
                    </w:rPr>
                  </w:pPr>
                </w:p>
              </w:tc>
              <w:tc>
                <w:tcPr>
                  <w:tcW w:w="658" w:type="dxa"/>
                  <w:gridSpan w:val="2"/>
                  <w:vMerge w:val="continue"/>
                  <w:vAlign w:val="center"/>
                </w:tcPr>
                <w:p>
                  <w:pPr>
                    <w:pStyle w:val="167"/>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含油抹布、劳保用品（900-041-49）</w:t>
                  </w:r>
                </w:p>
              </w:tc>
              <w:tc>
                <w:tcPr>
                  <w:tcW w:w="4460" w:type="dxa"/>
                  <w:gridSpan w:val="2"/>
                  <w:vAlign w:val="center"/>
                </w:tcPr>
                <w:p>
                  <w:pPr>
                    <w:pStyle w:val="167"/>
                    <w:rPr>
                      <w:szCs w:val="21"/>
                    </w:rPr>
                  </w:pPr>
                  <w:r>
                    <w:rPr>
                      <w:szCs w:val="21"/>
                    </w:rPr>
                    <w:t>经垃圾桶收集后同生活垃圾一起清运至团结乡垃圾收集点。</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628" w:type="dxa"/>
                  <w:vMerge w:val="continue"/>
                  <w:vAlign w:val="center"/>
                </w:tcPr>
                <w:p>
                  <w:pPr>
                    <w:pStyle w:val="167"/>
                    <w:rPr>
                      <w:szCs w:val="21"/>
                    </w:rPr>
                  </w:pPr>
                </w:p>
              </w:tc>
              <w:tc>
                <w:tcPr>
                  <w:tcW w:w="426" w:type="dxa"/>
                  <w:vMerge w:val="restart"/>
                  <w:vAlign w:val="center"/>
                </w:tcPr>
                <w:p>
                  <w:pPr>
                    <w:pStyle w:val="167"/>
                    <w:rPr>
                      <w:szCs w:val="21"/>
                    </w:rPr>
                  </w:pPr>
                  <w:r>
                    <w:rPr>
                      <w:szCs w:val="21"/>
                    </w:rPr>
                    <w:t>防渗措施</w:t>
                  </w:r>
                </w:p>
              </w:tc>
              <w:tc>
                <w:tcPr>
                  <w:tcW w:w="2246" w:type="dxa"/>
                  <w:vMerge w:val="restart"/>
                  <w:vAlign w:val="center"/>
                </w:tcPr>
                <w:p>
                  <w:pPr>
                    <w:pStyle w:val="167"/>
                    <w:rPr>
                      <w:szCs w:val="21"/>
                    </w:rPr>
                  </w:pPr>
                  <w:r>
                    <w:rPr>
                      <w:szCs w:val="21"/>
                    </w:rPr>
                    <w:t>重点防渗区</w:t>
                  </w:r>
                </w:p>
              </w:tc>
              <w:tc>
                <w:tcPr>
                  <w:tcW w:w="4460" w:type="dxa"/>
                  <w:gridSpan w:val="2"/>
                  <w:vAlign w:val="center"/>
                </w:tcPr>
                <w:p>
                  <w:pPr>
                    <w:pStyle w:val="167"/>
                    <w:rPr>
                      <w:szCs w:val="21"/>
                    </w:rPr>
                  </w:pPr>
                  <w:r>
                    <w:rPr>
                      <w:szCs w:val="21"/>
                    </w:rPr>
                    <w:t>危险废物暂存间分为废矿物油（废润滑油、导热油）暂存区和其他危险废物暂存区。废矿物油（废润滑油、导热油）暂存区设置防渗托盘，并设置30cm高围堰，围堰容积约为0.9m³；地面与裙脚采用抗渗混凝土、高密度聚乙烯膜、钠基膨润土防水毯或其他防渗性能等效的材料；地面基础防渗，防渗层为至少1m厚黏层（渗透系数不大于10</w:t>
                  </w:r>
                  <w:r>
                    <w:rPr>
                      <w:szCs w:val="21"/>
                      <w:vertAlign w:val="superscript"/>
                    </w:rPr>
                    <w:t>-7</w:t>
                  </w:r>
                  <w:r>
                    <w:rPr>
                      <w:szCs w:val="21"/>
                    </w:rPr>
                    <w:t>cm/s），或采用至少2mm厚高密度聚乙烯膜等人工防渗材料（渗透系数不大于10</w:t>
                  </w:r>
                  <w:r>
                    <w:rPr>
                      <w:szCs w:val="21"/>
                      <w:vertAlign w:val="superscript"/>
                    </w:rPr>
                    <w:t xml:space="preserve">-10 </w:t>
                  </w:r>
                  <w:r>
                    <w:rPr>
                      <w:szCs w:val="21"/>
                    </w:rPr>
                    <w:t>cm/s）或其他防渗性能等效的材料。或参照GB18597执行。</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Merge w:val="continue"/>
                  <w:vAlign w:val="center"/>
                </w:tcPr>
                <w:p>
                  <w:pPr>
                    <w:pStyle w:val="167"/>
                    <w:rPr>
                      <w:szCs w:val="21"/>
                    </w:rPr>
                  </w:pPr>
                </w:p>
              </w:tc>
              <w:tc>
                <w:tcPr>
                  <w:tcW w:w="4460" w:type="dxa"/>
                  <w:gridSpan w:val="2"/>
                  <w:vAlign w:val="center"/>
                </w:tcPr>
                <w:p>
                  <w:pPr>
                    <w:pStyle w:val="167"/>
                    <w:rPr>
                      <w:szCs w:val="21"/>
                    </w:rPr>
                  </w:pPr>
                  <w:r>
                    <w:rPr>
                      <w:szCs w:val="21"/>
                    </w:rPr>
                    <w:t>柴油储罐罐区设置长4m、宽2.5m、高0.6m，容积6m³（约5.22t）的围堰；沥青储罐区设置长15m、宽4m、高0.7m，容积42m³（约50.4t）的围堰；储罐区地面及围堰并采用耐磨、防腐、防渗的人工涂料进行防渗处置。防渗技术要求：等效黏土防渗层Mb≥6.0m，K≤1×10-7cm/s；或参照GB18597执行；同时储罐区还应做到防浸泡。</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一般防渗区</w:t>
                  </w:r>
                </w:p>
              </w:tc>
              <w:tc>
                <w:tcPr>
                  <w:tcW w:w="4460" w:type="dxa"/>
                  <w:gridSpan w:val="2"/>
                  <w:vAlign w:val="center"/>
                </w:tcPr>
                <w:p>
                  <w:pPr>
                    <w:pStyle w:val="167"/>
                    <w:rPr>
                      <w:szCs w:val="21"/>
                    </w:rPr>
                  </w:pPr>
                  <w:r>
                    <w:rPr>
                      <w:szCs w:val="21"/>
                    </w:rPr>
                    <w:t>初期雨水收集池，采用高强度混凝土建设，结构厚度不应小于100mm，混凝土抗渗等级不应低于P6。防渗技术要求：等效黏土防渗层Mb&gt;1.5m，K≤1.0x10</w:t>
                  </w:r>
                  <w:r>
                    <w:rPr>
                      <w:szCs w:val="21"/>
                      <w:vertAlign w:val="superscript"/>
                    </w:rPr>
                    <w:t>-7</w:t>
                  </w:r>
                  <w:r>
                    <w:rPr>
                      <w:szCs w:val="21"/>
                    </w:rPr>
                    <w:t>cm/s；或参照GB16889执行。</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Merge w:val="continue"/>
                  <w:vAlign w:val="center"/>
                </w:tcPr>
                <w:p>
                  <w:pPr>
                    <w:pStyle w:val="167"/>
                    <w:rPr>
                      <w:szCs w:val="21"/>
                    </w:rPr>
                  </w:pPr>
                </w:p>
              </w:tc>
              <w:tc>
                <w:tcPr>
                  <w:tcW w:w="2246" w:type="dxa"/>
                  <w:vAlign w:val="center"/>
                </w:tcPr>
                <w:p>
                  <w:pPr>
                    <w:pStyle w:val="167"/>
                    <w:rPr>
                      <w:szCs w:val="21"/>
                    </w:rPr>
                  </w:pPr>
                  <w:r>
                    <w:rPr>
                      <w:szCs w:val="21"/>
                    </w:rPr>
                    <w:t>简单防渗区</w:t>
                  </w:r>
                </w:p>
              </w:tc>
              <w:tc>
                <w:tcPr>
                  <w:tcW w:w="4460" w:type="dxa"/>
                  <w:gridSpan w:val="2"/>
                  <w:vAlign w:val="center"/>
                </w:tcPr>
                <w:p>
                  <w:pPr>
                    <w:pStyle w:val="167"/>
                    <w:rPr>
                      <w:szCs w:val="21"/>
                    </w:rPr>
                  </w:pPr>
                  <w:r>
                    <w:rPr>
                      <w:szCs w:val="21"/>
                      <w:lang w:bidi="ar"/>
                    </w:rPr>
                    <w:t>除了重点、一般防渗区以外的区域进行简单硬化处理。</w:t>
                  </w:r>
                </w:p>
              </w:tc>
              <w:tc>
                <w:tcPr>
                  <w:tcW w:w="658" w:type="dxa"/>
                  <w:gridSpan w:val="2"/>
                  <w:vAlign w:val="center"/>
                </w:tcPr>
                <w:p>
                  <w:pPr>
                    <w:pStyle w:val="167"/>
                    <w:rPr>
                      <w:szCs w:val="21"/>
                    </w:rPr>
                  </w:pPr>
                  <w:r>
                    <w:rPr>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28" w:type="dxa"/>
                  <w:vMerge w:val="continue"/>
                  <w:vAlign w:val="center"/>
                </w:tcPr>
                <w:p>
                  <w:pPr>
                    <w:pStyle w:val="167"/>
                    <w:rPr>
                      <w:szCs w:val="21"/>
                    </w:rPr>
                  </w:pPr>
                </w:p>
              </w:tc>
              <w:tc>
                <w:tcPr>
                  <w:tcW w:w="426" w:type="dxa"/>
                  <w:vAlign w:val="center"/>
                </w:tcPr>
                <w:p>
                  <w:pPr>
                    <w:pStyle w:val="167"/>
                    <w:rPr>
                      <w:szCs w:val="21"/>
                    </w:rPr>
                  </w:pPr>
                  <w:r>
                    <w:rPr>
                      <w:szCs w:val="21"/>
                    </w:rPr>
                    <w:t>环境风险</w:t>
                  </w:r>
                </w:p>
              </w:tc>
              <w:tc>
                <w:tcPr>
                  <w:tcW w:w="6706" w:type="dxa"/>
                  <w:gridSpan w:val="3"/>
                  <w:vAlign w:val="center"/>
                </w:tcPr>
                <w:p>
                  <w:pPr>
                    <w:pStyle w:val="167"/>
                    <w:rPr>
                      <w:szCs w:val="21"/>
                    </w:rPr>
                  </w:pPr>
                  <w:r>
                    <w:rPr>
                      <w:rFonts w:hint="eastAsia" w:ascii="宋体" w:hAnsi="宋体" w:cs="宋体"/>
                      <w:szCs w:val="21"/>
                    </w:rPr>
                    <w:t>①</w:t>
                  </w:r>
                  <w:r>
                    <w:rPr>
                      <w:szCs w:val="21"/>
                    </w:rPr>
                    <w:t>风险物质的储存保持良好的通风环境，密封避光储存，且远离火种、热源。</w:t>
                  </w:r>
                </w:p>
                <w:p>
                  <w:pPr>
                    <w:pStyle w:val="167"/>
                    <w:rPr>
                      <w:szCs w:val="21"/>
                    </w:rPr>
                  </w:pPr>
                  <w:r>
                    <w:rPr>
                      <w:rFonts w:hint="eastAsia" w:ascii="宋体" w:hAnsi="宋体" w:cs="宋体"/>
                      <w:szCs w:val="21"/>
                    </w:rPr>
                    <w:t>②</w:t>
                  </w:r>
                  <w:r>
                    <w:rPr>
                      <w:szCs w:val="21"/>
                    </w:rPr>
                    <w:t>根据《危险废物贮存污染控制标准》（GB18597-2023）等规范，加强危险废物管理。针对各类危险物质危险特性及燃爆性，分类别、分区域进行储存。危险废物暂存间、柴油储罐罐区地面与裙脚采用抗渗混凝土、高密度聚乙烯膜、钠基膨润土防水毯或其他防渗性能等效的材料；地面基础防渗，防渗层为至少 1m 厚黏层（渗透系数不大于10</w:t>
                  </w:r>
                  <w:r>
                    <w:rPr>
                      <w:szCs w:val="21"/>
                      <w:vertAlign w:val="superscript"/>
                    </w:rPr>
                    <w:t>-7</w:t>
                  </w:r>
                  <w:r>
                    <w:rPr>
                      <w:szCs w:val="21"/>
                    </w:rPr>
                    <w:t>cm/s），或采用至少2mm 厚高密度聚乙烯膜等人工防渗材料（渗透系数不大于10</w:t>
                  </w:r>
                  <w:r>
                    <w:rPr>
                      <w:szCs w:val="21"/>
                      <w:vertAlign w:val="superscript"/>
                    </w:rPr>
                    <w:t>-10</w:t>
                  </w:r>
                  <w:r>
                    <w:rPr>
                      <w:szCs w:val="21"/>
                    </w:rPr>
                    <w:t>cm/s）或其他防渗性能等效的材料。或参照GB18597；</w:t>
                  </w:r>
                </w:p>
                <w:p>
                  <w:pPr>
                    <w:pStyle w:val="167"/>
                    <w:rPr>
                      <w:szCs w:val="21"/>
                    </w:rPr>
                  </w:pPr>
                  <w:r>
                    <w:rPr>
                      <w:rFonts w:hint="eastAsia" w:ascii="宋体" w:hAnsi="宋体" w:cs="宋体"/>
                      <w:szCs w:val="21"/>
                    </w:rPr>
                    <w:t>③</w:t>
                  </w:r>
                  <w:r>
                    <w:rPr>
                      <w:szCs w:val="21"/>
                    </w:rPr>
                    <w:t>严格落实危险废物暂存间的巡检制度。定期组织开展与环保、安全、消防等相关的培训教育，提高员工意识，并熟练掌握事故发生时应急措施和正确处理方法。</w:t>
                  </w:r>
                </w:p>
                <w:p>
                  <w:pPr>
                    <w:pStyle w:val="167"/>
                    <w:rPr>
                      <w:szCs w:val="21"/>
                    </w:rPr>
                  </w:pPr>
                  <w:r>
                    <w:rPr>
                      <w:rFonts w:hint="eastAsia" w:ascii="宋体" w:hAnsi="宋体" w:cs="宋体"/>
                      <w:szCs w:val="21"/>
                    </w:rPr>
                    <w:t>④</w:t>
                  </w:r>
                  <w:r>
                    <w:rPr>
                      <w:szCs w:val="21"/>
                    </w:rPr>
                    <w:t>按要求编制突发环境事件应急预案并备案，定期开展突发环境事件应急预案培训与演练，提高突发环境事件应急处置能力。</w:t>
                  </w:r>
                </w:p>
              </w:tc>
              <w:tc>
                <w:tcPr>
                  <w:tcW w:w="658" w:type="dxa"/>
                  <w:gridSpan w:val="2"/>
                  <w:vAlign w:val="center"/>
                </w:tcPr>
                <w:p>
                  <w:pPr>
                    <w:pStyle w:val="167"/>
                    <w:rPr>
                      <w:szCs w:val="21"/>
                    </w:rPr>
                  </w:pPr>
                  <w:r>
                    <w:rPr>
                      <w:szCs w:val="21"/>
                    </w:rPr>
                    <w:t>/</w:t>
                  </w:r>
                </w:p>
              </w:tc>
            </w:tr>
          </w:tbl>
          <w:p>
            <w:pPr>
              <w:pStyle w:val="111"/>
            </w:pPr>
            <w:bookmarkStart w:id="10" w:name="_Toc5921"/>
            <w:r>
              <w:t>2、产品方案及规模</w:t>
            </w:r>
          </w:p>
          <w:p>
            <w:pPr>
              <w:pStyle w:val="139"/>
              <w:ind w:firstLine="480"/>
            </w:pPr>
            <w:r>
              <w:t>本项目年生产约1569t沥青混凝土，且不具有盈利性质；其生产的沥青拌合料主要用于G215线K3325至G215线K3361路段养护，共计养护路段约136km。产品方案具体见下表2-2。</w:t>
            </w:r>
          </w:p>
          <w:p>
            <w:pPr>
              <w:pStyle w:val="168"/>
            </w:pPr>
            <w:r>
              <w:t>表2-2   项目产品方案一览表</w:t>
            </w:r>
          </w:p>
          <w:tbl>
            <w:tblPr>
              <w:tblStyle w:val="28"/>
              <w:tblW w:w="8382" w:type="dxa"/>
              <w:jc w:val="center"/>
              <w:tblInd w:w="0" w:type="dxa"/>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Layout w:type="fixed"/>
              <w:tblCellMar>
                <w:top w:w="0" w:type="dxa"/>
                <w:left w:w="108" w:type="dxa"/>
                <w:bottom w:w="0" w:type="dxa"/>
                <w:right w:w="108" w:type="dxa"/>
              </w:tblCellMar>
            </w:tblPr>
            <w:tblGrid>
              <w:gridCol w:w="964"/>
              <w:gridCol w:w="2796"/>
              <w:gridCol w:w="2313"/>
              <w:gridCol w:w="2309"/>
            </w:tblGrid>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Layout w:type="fixed"/>
                <w:tblCellMar>
                  <w:top w:w="0" w:type="dxa"/>
                  <w:left w:w="108" w:type="dxa"/>
                  <w:bottom w:w="0" w:type="dxa"/>
                  <w:right w:w="108" w:type="dxa"/>
                </w:tblCellMar>
              </w:tblPrEx>
              <w:trPr>
                <w:jc w:val="center"/>
              </w:trPr>
              <w:tc>
                <w:tcPr>
                  <w:tcW w:w="964" w:type="dxa"/>
                  <w:tcBorders>
                    <w:tl2br w:val="nil"/>
                    <w:tr2bl w:val="nil"/>
                  </w:tcBorders>
                  <w:vAlign w:val="center"/>
                </w:tcPr>
                <w:p>
                  <w:pPr>
                    <w:pStyle w:val="167"/>
                  </w:pPr>
                  <w:r>
                    <w:t>序号</w:t>
                  </w:r>
                </w:p>
              </w:tc>
              <w:tc>
                <w:tcPr>
                  <w:tcW w:w="2796" w:type="dxa"/>
                  <w:tcBorders>
                    <w:tl2br w:val="nil"/>
                    <w:tr2bl w:val="nil"/>
                  </w:tcBorders>
                  <w:vAlign w:val="center"/>
                </w:tcPr>
                <w:p>
                  <w:pPr>
                    <w:pStyle w:val="167"/>
                  </w:pPr>
                  <w:r>
                    <w:t>产品名称</w:t>
                  </w:r>
                </w:p>
              </w:tc>
              <w:tc>
                <w:tcPr>
                  <w:tcW w:w="2313" w:type="dxa"/>
                  <w:tcBorders>
                    <w:tl2br w:val="nil"/>
                    <w:tr2bl w:val="nil"/>
                  </w:tcBorders>
                  <w:vAlign w:val="center"/>
                </w:tcPr>
                <w:p>
                  <w:pPr>
                    <w:pStyle w:val="167"/>
                  </w:pPr>
                  <w:r>
                    <w:t>产量（t/a）</w:t>
                  </w:r>
                </w:p>
              </w:tc>
              <w:tc>
                <w:tcPr>
                  <w:tcW w:w="2309" w:type="dxa"/>
                  <w:tcBorders>
                    <w:tl2br w:val="nil"/>
                    <w:tr2bl w:val="nil"/>
                  </w:tcBorders>
                  <w:vAlign w:val="center"/>
                </w:tcPr>
                <w:p>
                  <w:pPr>
                    <w:pStyle w:val="167"/>
                  </w:pPr>
                  <w:r>
                    <w:t>备注</w:t>
                  </w:r>
                </w:p>
              </w:tc>
            </w:tr>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Layout w:type="fixed"/>
                <w:tblCellMar>
                  <w:top w:w="0" w:type="dxa"/>
                  <w:left w:w="108" w:type="dxa"/>
                  <w:bottom w:w="0" w:type="dxa"/>
                  <w:right w:w="108" w:type="dxa"/>
                </w:tblCellMar>
              </w:tblPrEx>
              <w:trPr>
                <w:jc w:val="center"/>
              </w:trPr>
              <w:tc>
                <w:tcPr>
                  <w:tcW w:w="964" w:type="dxa"/>
                  <w:tcBorders>
                    <w:tl2br w:val="nil"/>
                    <w:tr2bl w:val="nil"/>
                  </w:tcBorders>
                  <w:vAlign w:val="center"/>
                </w:tcPr>
                <w:p>
                  <w:pPr>
                    <w:pStyle w:val="167"/>
                  </w:pPr>
                  <w:r>
                    <w:t>1</w:t>
                  </w:r>
                </w:p>
              </w:tc>
              <w:tc>
                <w:tcPr>
                  <w:tcW w:w="2796" w:type="dxa"/>
                  <w:tcBorders>
                    <w:tl2br w:val="nil"/>
                    <w:tr2bl w:val="nil"/>
                  </w:tcBorders>
                  <w:vAlign w:val="center"/>
                </w:tcPr>
                <w:p>
                  <w:pPr>
                    <w:pStyle w:val="167"/>
                  </w:pPr>
                  <w:r>
                    <w:t>沥青混凝土</w:t>
                  </w:r>
                </w:p>
              </w:tc>
              <w:tc>
                <w:tcPr>
                  <w:tcW w:w="2313" w:type="dxa"/>
                  <w:tcBorders>
                    <w:tl2br w:val="nil"/>
                    <w:tr2bl w:val="nil"/>
                  </w:tcBorders>
                  <w:vAlign w:val="center"/>
                </w:tcPr>
                <w:p>
                  <w:pPr>
                    <w:pStyle w:val="167"/>
                  </w:pPr>
                  <w:r>
                    <w:t>1569</w:t>
                  </w:r>
                </w:p>
              </w:tc>
              <w:tc>
                <w:tcPr>
                  <w:tcW w:w="2309" w:type="dxa"/>
                  <w:tcBorders>
                    <w:tl2br w:val="nil"/>
                    <w:tr2bl w:val="nil"/>
                  </w:tcBorders>
                  <w:vAlign w:val="center"/>
                </w:tcPr>
                <w:p>
                  <w:pPr>
                    <w:pStyle w:val="167"/>
                  </w:pPr>
                  <w:r>
                    <w:t>产品质量符合相关国家标准和行业标准后用于道路保养维护</w:t>
                  </w:r>
                </w:p>
              </w:tc>
            </w:tr>
          </w:tbl>
          <w:p>
            <w:pPr>
              <w:pStyle w:val="111"/>
            </w:pPr>
            <w:r>
              <w:t>3、主要生产设备</w:t>
            </w:r>
          </w:p>
          <w:p>
            <w:pPr>
              <w:pStyle w:val="139"/>
              <w:ind w:firstLine="480"/>
              <w:rPr>
                <w:b/>
                <w:bCs/>
                <w:szCs w:val="21"/>
              </w:rPr>
            </w:pPr>
            <w:bookmarkStart w:id="11" w:name="_Toc22683"/>
            <w:r>
              <w:t>根据现场调查，云龙公路分局沥青拌合站主要生产设备及相关参数详见表2-3。</w:t>
            </w:r>
            <w:bookmarkEnd w:id="11"/>
          </w:p>
          <w:p>
            <w:pPr>
              <w:pStyle w:val="168"/>
            </w:pPr>
            <w:r>
              <w:t>表2-3   主要生产设备及其相关参数一览表</w:t>
            </w:r>
          </w:p>
          <w:tbl>
            <w:tblPr>
              <w:tblStyle w:val="28"/>
              <w:tblW w:w="8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3102"/>
              <w:gridCol w:w="1594"/>
              <w:gridCol w:w="935"/>
              <w:gridCol w:w="773"/>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序 号</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设备名称</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型号</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b/>
                    </w:rPr>
                    <w:t>数 量</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b/>
                    </w:rPr>
                    <w:t>单位</w:t>
                  </w:r>
                </w:p>
              </w:tc>
              <w:tc>
                <w:tcPr>
                  <w:tcW w:w="1280" w:type="dxa"/>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380" w:type="dxa"/>
                  <w:gridSpan w:val="6"/>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LB600型沥青混合搅拌设备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380" w:type="dxa"/>
                  <w:gridSpan w:val="6"/>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一、冷料配供系统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皮带给料器（料斗）</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0t/h~30t/h</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3</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restart"/>
                  <w:tcBorders>
                    <w:top w:val="single" w:color="000000" w:sz="4" w:space="0"/>
                    <w:left w:val="single" w:color="000000" w:sz="4" w:space="0"/>
                    <w:right w:val="single" w:color="000000" w:sz="4" w:space="0"/>
                  </w:tcBorders>
                  <w:vAlign w:val="center"/>
                </w:tcPr>
                <w:p>
                  <w:pPr>
                    <w:pStyle w:val="167"/>
                    <w:rPr>
                      <w:rStyle w:val="99"/>
                    </w:rPr>
                  </w:pPr>
                  <w:r>
                    <w:rPr>
                      <w:rStyle w:val="99"/>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2</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快速进料皮带机</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80t/h</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条</w:t>
                  </w:r>
                </w:p>
              </w:tc>
              <w:tc>
                <w:tcPr>
                  <w:tcW w:w="1280" w:type="dxa"/>
                  <w:vMerge w:val="continue"/>
                  <w:tcBorders>
                    <w:left w:val="single" w:color="000000" w:sz="4" w:space="0"/>
                    <w:bottom w:val="single" w:color="000000" w:sz="4" w:space="0"/>
                    <w:right w:val="single" w:color="000000" w:sz="4" w:space="0"/>
                  </w:tcBorders>
                  <w:vAlign w:val="center"/>
                </w:tcPr>
                <w:p>
                  <w:pPr>
                    <w:pStyle w:val="167"/>
                    <w:rPr>
                      <w:rStyle w:val="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380" w:type="dxa"/>
                  <w:gridSpan w:val="6"/>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二、干燥系统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3</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干燥滚筒</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70t/h</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restart"/>
                  <w:tcBorders>
                    <w:top w:val="single" w:color="000000" w:sz="4" w:space="0"/>
                    <w:left w:val="single" w:color="000000" w:sz="4" w:space="0"/>
                    <w:right w:val="single" w:color="000000" w:sz="4" w:space="0"/>
                  </w:tcBorders>
                  <w:vAlign w:val="center"/>
                </w:tcPr>
                <w:p>
                  <w:pPr>
                    <w:pStyle w:val="167"/>
                    <w:rPr>
                      <w:rStyle w:val="99"/>
                    </w:rPr>
                  </w:pPr>
                  <w:r>
                    <w:rPr>
                      <w:rStyle w:val="99"/>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4</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油气两用燃烧机</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CMRL800型</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套</w:t>
                  </w:r>
                </w:p>
              </w:tc>
              <w:tc>
                <w:tcPr>
                  <w:tcW w:w="1280" w:type="dxa"/>
                  <w:vMerge w:val="continue"/>
                  <w:tcBorders>
                    <w:top w:val="single" w:color="000000" w:sz="4" w:space="0"/>
                    <w:left w:val="single" w:color="000000" w:sz="4" w:space="0"/>
                    <w:right w:val="single" w:color="000000" w:sz="4" w:space="0"/>
                  </w:tcBorders>
                  <w:vAlign w:val="center"/>
                </w:tcPr>
                <w:p>
                  <w:pPr>
                    <w:pStyle w:val="167"/>
                    <w:rPr>
                      <w:rStyle w:val="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5</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测温仪</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2</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continue"/>
                  <w:tcBorders>
                    <w:left w:val="single" w:color="000000" w:sz="4" w:space="0"/>
                    <w:bottom w:val="single" w:color="000000" w:sz="4" w:space="0"/>
                    <w:right w:val="single" w:color="000000" w:sz="4" w:space="0"/>
                  </w:tcBorders>
                  <w:vAlign w:val="center"/>
                </w:tcPr>
                <w:p>
                  <w:pPr>
                    <w:pStyle w:val="167"/>
                    <w:rPr>
                      <w:rStyle w:val="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380" w:type="dxa"/>
                  <w:gridSpan w:val="6"/>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三、搅拌楼系统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6</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骨料提升机</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72t/h</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restart"/>
                  <w:tcBorders>
                    <w:top w:val="single" w:color="000000" w:sz="4" w:space="0"/>
                    <w:left w:val="single" w:color="000000" w:sz="4" w:space="0"/>
                    <w:right w:val="single" w:color="000000" w:sz="4" w:space="0"/>
                  </w:tcBorders>
                  <w:vAlign w:val="center"/>
                </w:tcPr>
                <w:p>
                  <w:pPr>
                    <w:jc w:val="center"/>
                  </w:pPr>
                  <w:r>
                    <w:rPr>
                      <w:rStyle w:val="99"/>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7</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粉料提升机</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17t/h</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8</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振动筛</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70t/h</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9</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料位显示器</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5</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台</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52"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10</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计量系统</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骨料称：625kg/批；粉料称：100kg/批；沥青称：100kg/批</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套</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11</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搅拌器</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搅拌能力600kg/批，搅拌周期 45s</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12</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螺旋输送机</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continue"/>
                  <w:tcBorders>
                    <w:left w:val="single" w:color="000000" w:sz="4" w:space="0"/>
                    <w:bottom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380" w:type="dxa"/>
                  <w:gridSpan w:val="6"/>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四、沥青加热系统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13</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电加热沥青存储罐</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50t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套</w:t>
                  </w:r>
                </w:p>
              </w:tc>
              <w:tc>
                <w:tcPr>
                  <w:tcW w:w="1280" w:type="dxa"/>
                  <w:vMerge w:val="restart"/>
                  <w:tcBorders>
                    <w:top w:val="single" w:color="000000" w:sz="4" w:space="0"/>
                    <w:left w:val="single" w:color="000000" w:sz="4" w:space="0"/>
                    <w:right w:val="single" w:color="000000" w:sz="4" w:space="0"/>
                  </w:tcBorders>
                  <w:vAlign w:val="center"/>
                </w:tcPr>
                <w:p>
                  <w:pPr>
                    <w:jc w:val="center"/>
                  </w:pPr>
                  <w:r>
                    <w:rPr>
                      <w:rStyle w:val="99"/>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14</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柴油储罐</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10t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只</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15</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沥青泵</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台</w:t>
                  </w:r>
                </w:p>
              </w:tc>
              <w:tc>
                <w:tcPr>
                  <w:tcW w:w="1280" w:type="dxa"/>
                  <w:vMerge w:val="continue"/>
                  <w:tcBorders>
                    <w:left w:val="single" w:color="000000" w:sz="4" w:space="0"/>
                    <w:bottom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380" w:type="dxa"/>
                  <w:gridSpan w:val="6"/>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五、环保设备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集气罩</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t>个</w:t>
                  </w:r>
                </w:p>
              </w:tc>
              <w:tc>
                <w:tcPr>
                  <w:tcW w:w="1280" w:type="dxa"/>
                  <w:vMerge w:val="restart"/>
                  <w:tcBorders>
                    <w:left w:val="single" w:color="000000" w:sz="4" w:space="0"/>
                    <w:right w:val="single" w:color="000000" w:sz="4" w:space="0"/>
                  </w:tcBorders>
                  <w:vAlign w:val="center"/>
                </w:tcPr>
                <w:p>
                  <w:pPr>
                    <w:jc w:val="center"/>
                  </w:pPr>
                  <w: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2</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活性炭二级吸附装置</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风机额定风量15000m³/h</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套</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3</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两级除尘系统（重力除尘+大气反吹式布袋除尘）</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风机额定风量45000m³/h</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套</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4</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喷淋塔</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水箱容积2m³</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rPr>
                    <w:t>个</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5</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初期雨水收集池</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30m³</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个</w:t>
                  </w:r>
                </w:p>
              </w:tc>
              <w:tc>
                <w:tcPr>
                  <w:tcW w:w="1280" w:type="dxa"/>
                  <w:vMerge w:val="continue"/>
                  <w:tcBorders>
                    <w:left w:val="single" w:color="000000" w:sz="4" w:space="0"/>
                    <w:right w:val="single" w:color="000000"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6</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szCs w:val="21"/>
                    </w:rPr>
                    <w:t>循环废水储罐</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szCs w:val="21"/>
                    </w:rPr>
                    <w:t>2m³</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只</w:t>
                  </w:r>
                </w:p>
              </w:tc>
              <w:tc>
                <w:tcPr>
                  <w:tcW w:w="1280" w:type="dxa"/>
                  <w:vMerge w:val="continue"/>
                  <w:tcBorders>
                    <w:left w:val="single" w:color="000000" w:sz="4" w:space="0"/>
                    <w:bottom w:val="single" w:color="000000" w:sz="4" w:space="0"/>
                    <w:right w:val="single" w:color="000000" w:sz="4" w:space="0"/>
                  </w:tcBorders>
                  <w:vAlign w:val="center"/>
                </w:tcPr>
                <w:p>
                  <w:pPr>
                    <w:jc w:val="center"/>
                  </w:pPr>
                </w:p>
              </w:tc>
            </w:tr>
          </w:tbl>
          <w:p>
            <w:pPr>
              <w:pStyle w:val="139"/>
              <w:ind w:firstLine="480"/>
            </w:pPr>
            <w:r>
              <w:t>根据建设单位提供资料，电加热沥青储存罐相关参数见下表2-4。</w:t>
            </w:r>
          </w:p>
          <w:p>
            <w:pPr>
              <w:pStyle w:val="151"/>
              <w:rPr>
                <w:color w:val="auto"/>
              </w:rPr>
            </w:pPr>
            <w:r>
              <w:rPr>
                <w:color w:val="auto"/>
              </w:rPr>
              <w:t xml:space="preserve">表2-4   </w:t>
            </w:r>
            <w:r>
              <w:rPr>
                <w:rStyle w:val="99"/>
                <w:color w:val="auto"/>
              </w:rPr>
              <w:t>50t电加热沥青存储罐内部设备及相关参数</w:t>
            </w:r>
            <w:r>
              <w:rPr>
                <w:color w:val="auto"/>
              </w:rPr>
              <w:t>一览表</w:t>
            </w:r>
          </w:p>
          <w:tbl>
            <w:tblPr>
              <w:tblStyle w:val="28"/>
              <w:tblW w:w="8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3102"/>
              <w:gridCol w:w="1594"/>
              <w:gridCol w:w="935"/>
              <w:gridCol w:w="773"/>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序号</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设备名称</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型号</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b/>
                    </w:rPr>
                    <w:t>数量</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67"/>
                  </w:pPr>
                  <w:r>
                    <w:rPr>
                      <w:rStyle w:val="99"/>
                      <w:b/>
                    </w:rPr>
                    <w:t>单位</w:t>
                  </w:r>
                </w:p>
              </w:tc>
              <w:tc>
                <w:tcPr>
                  <w:tcW w:w="1280" w:type="dxa"/>
                  <w:tcBorders>
                    <w:top w:val="single" w:color="000000" w:sz="4" w:space="0"/>
                    <w:left w:val="single" w:color="000000" w:sz="4" w:space="0"/>
                    <w:bottom w:val="single" w:color="000000" w:sz="4" w:space="0"/>
                    <w:right w:val="single" w:color="000000" w:sz="4" w:space="0"/>
                  </w:tcBorders>
                  <w:vAlign w:val="center"/>
                </w:tcPr>
                <w:p>
                  <w:pPr>
                    <w:pStyle w:val="167"/>
                    <w:rPr>
                      <w:rStyle w:val="99"/>
                      <w:b/>
                    </w:rPr>
                  </w:pPr>
                  <w:r>
                    <w:rPr>
                      <w:rStyle w:val="99"/>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1</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DN51 加温盘管</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320m</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tcPr>
                <w:p>
                  <w:pPr>
                    <w:pStyle w:val="167"/>
                  </w:pPr>
                  <w:r>
                    <w:rPr>
                      <w:rStyle w:val="99"/>
                    </w:rPr>
                    <w:t>套</w:t>
                  </w:r>
                </w:p>
              </w:tc>
              <w:tc>
                <w:tcPr>
                  <w:tcW w:w="1280" w:type="dxa"/>
                  <w:vMerge w:val="restart"/>
                  <w:tcBorders>
                    <w:top w:val="single" w:color="000000" w:sz="4" w:space="0"/>
                    <w:left w:val="single" w:color="000000" w:sz="4" w:space="0"/>
                    <w:right w:val="single" w:color="000000" w:sz="4" w:space="0"/>
                  </w:tcBorders>
                  <w:vAlign w:val="center"/>
                </w:tcPr>
                <w:p>
                  <w:pPr>
                    <w:pStyle w:val="167"/>
                    <w:rPr>
                      <w:rStyle w:val="99"/>
                    </w:rPr>
                  </w:pPr>
                  <w:r>
                    <w:rPr>
                      <w:rStyle w:val="99"/>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2</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沥青储罐底座</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4</w:t>
                  </w:r>
                </w:p>
              </w:tc>
              <w:tc>
                <w:tcPr>
                  <w:tcW w:w="773" w:type="dxa"/>
                  <w:tcBorders>
                    <w:top w:val="single" w:color="000000" w:sz="4" w:space="0"/>
                    <w:left w:val="single" w:color="000000" w:sz="4" w:space="0"/>
                    <w:bottom w:val="single" w:color="000000" w:sz="4" w:space="0"/>
                    <w:right w:val="single" w:color="000000" w:sz="4" w:space="0"/>
                  </w:tcBorders>
                </w:tcPr>
                <w:p>
                  <w:pPr>
                    <w:pStyle w:val="167"/>
                  </w:pPr>
                  <w:r>
                    <w:rPr>
                      <w:rStyle w:val="99"/>
                    </w:rPr>
                    <w:t>座</w:t>
                  </w:r>
                </w:p>
              </w:tc>
              <w:tc>
                <w:tcPr>
                  <w:tcW w:w="1280" w:type="dxa"/>
                  <w:vMerge w:val="continue"/>
                  <w:tcBorders>
                    <w:left w:val="single" w:color="000000" w:sz="4" w:space="0"/>
                    <w:right w:val="single" w:color="000000" w:sz="4" w:space="0"/>
                  </w:tcBorders>
                  <w:vAlign w:val="center"/>
                </w:tcPr>
                <w:p>
                  <w:pPr>
                    <w:pStyle w:val="167"/>
                    <w:rPr>
                      <w:rStyle w:val="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3</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电热管</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3组×50KW</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tcPr>
                <w:p>
                  <w:pPr>
                    <w:pStyle w:val="167"/>
                  </w:pPr>
                  <w:r>
                    <w:rPr>
                      <w:rStyle w:val="99"/>
                    </w:rPr>
                    <w:t>套</w:t>
                  </w:r>
                </w:p>
              </w:tc>
              <w:tc>
                <w:tcPr>
                  <w:tcW w:w="1280" w:type="dxa"/>
                  <w:vMerge w:val="continue"/>
                  <w:tcBorders>
                    <w:left w:val="single" w:color="000000" w:sz="4" w:space="0"/>
                    <w:right w:val="single" w:color="000000" w:sz="4" w:space="0"/>
                  </w:tcBorders>
                  <w:vAlign w:val="center"/>
                </w:tcPr>
                <w:p>
                  <w:pPr>
                    <w:pStyle w:val="167"/>
                    <w:rPr>
                      <w:rStyle w:val="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4</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导热油压力表</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tcPr>
                <w:p>
                  <w:pPr>
                    <w:pStyle w:val="167"/>
                  </w:pPr>
                  <w:r>
                    <w:rPr>
                      <w:rStyle w:val="99"/>
                    </w:rPr>
                    <w:t>套</w:t>
                  </w:r>
                </w:p>
              </w:tc>
              <w:tc>
                <w:tcPr>
                  <w:tcW w:w="1280" w:type="dxa"/>
                  <w:vMerge w:val="continue"/>
                  <w:tcBorders>
                    <w:left w:val="single" w:color="000000" w:sz="4" w:space="0"/>
                    <w:right w:val="single" w:color="000000" w:sz="4" w:space="0"/>
                  </w:tcBorders>
                  <w:vAlign w:val="center"/>
                </w:tcPr>
                <w:p>
                  <w:pPr>
                    <w:pStyle w:val="167"/>
                    <w:rPr>
                      <w:rStyle w:val="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5</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导热油循环泵</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5.5KW</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tcPr>
                <w:p>
                  <w:pPr>
                    <w:pStyle w:val="167"/>
                  </w:pPr>
                  <w:r>
                    <w:rPr>
                      <w:rStyle w:val="99"/>
                    </w:rPr>
                    <w:t>套</w:t>
                  </w:r>
                </w:p>
              </w:tc>
              <w:tc>
                <w:tcPr>
                  <w:tcW w:w="1280" w:type="dxa"/>
                  <w:vMerge w:val="continue"/>
                  <w:tcBorders>
                    <w:left w:val="single" w:color="000000" w:sz="4" w:space="0"/>
                    <w:right w:val="single" w:color="000000" w:sz="4" w:space="0"/>
                  </w:tcBorders>
                  <w:vAlign w:val="center"/>
                </w:tcPr>
                <w:p>
                  <w:pPr>
                    <w:pStyle w:val="167"/>
                    <w:rPr>
                      <w:rStyle w:val="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6</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外部管线电加温护送系统</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tcPr>
                <w:p>
                  <w:pPr>
                    <w:pStyle w:val="167"/>
                  </w:pPr>
                  <w:r>
                    <w:rPr>
                      <w:rStyle w:val="99"/>
                    </w:rPr>
                    <w:t>套</w:t>
                  </w:r>
                </w:p>
              </w:tc>
              <w:tc>
                <w:tcPr>
                  <w:tcW w:w="1280" w:type="dxa"/>
                  <w:vMerge w:val="continue"/>
                  <w:tcBorders>
                    <w:left w:val="single" w:color="000000" w:sz="4" w:space="0"/>
                    <w:right w:val="single" w:color="000000" w:sz="4" w:space="0"/>
                  </w:tcBorders>
                  <w:vAlign w:val="center"/>
                </w:tcPr>
                <w:p>
                  <w:pPr>
                    <w:pStyle w:val="167"/>
                    <w:rPr>
                      <w:rStyle w:val="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96"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7</w:t>
                  </w:r>
                </w:p>
              </w:tc>
              <w:tc>
                <w:tcPr>
                  <w:tcW w:w="3102"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液位计</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67"/>
                    <w:rPr>
                      <w:rStyle w:val="99"/>
                    </w:rPr>
                  </w:pPr>
                  <w:r>
                    <w:rPr>
                      <w:rStyle w:val="99"/>
                    </w:rPr>
                    <w:t>/</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167"/>
                  </w:pPr>
                  <w:r>
                    <w:t>1</w:t>
                  </w:r>
                </w:p>
              </w:tc>
              <w:tc>
                <w:tcPr>
                  <w:tcW w:w="773" w:type="dxa"/>
                  <w:tcBorders>
                    <w:top w:val="single" w:color="000000" w:sz="4" w:space="0"/>
                    <w:left w:val="single" w:color="000000" w:sz="4" w:space="0"/>
                    <w:bottom w:val="single" w:color="000000" w:sz="4" w:space="0"/>
                    <w:right w:val="single" w:color="000000" w:sz="4" w:space="0"/>
                  </w:tcBorders>
                </w:tcPr>
                <w:p>
                  <w:pPr>
                    <w:pStyle w:val="167"/>
                  </w:pPr>
                  <w:r>
                    <w:rPr>
                      <w:rStyle w:val="99"/>
                    </w:rPr>
                    <w:t>套</w:t>
                  </w:r>
                </w:p>
              </w:tc>
              <w:tc>
                <w:tcPr>
                  <w:tcW w:w="1280" w:type="dxa"/>
                  <w:vMerge w:val="continue"/>
                  <w:tcBorders>
                    <w:left w:val="single" w:color="000000" w:sz="4" w:space="0"/>
                    <w:bottom w:val="single" w:color="000000" w:sz="4" w:space="0"/>
                    <w:right w:val="single" w:color="000000" w:sz="4" w:space="0"/>
                  </w:tcBorders>
                  <w:vAlign w:val="center"/>
                </w:tcPr>
                <w:p>
                  <w:pPr>
                    <w:pStyle w:val="167"/>
                    <w:rPr>
                      <w:rStyle w:val="99"/>
                    </w:rPr>
                  </w:pPr>
                </w:p>
              </w:tc>
            </w:tr>
          </w:tbl>
          <w:p>
            <w:pPr>
              <w:pStyle w:val="111"/>
            </w:pPr>
            <w:r>
              <w:t>4、主要原辅料及用量</w:t>
            </w:r>
          </w:p>
          <w:p>
            <w:pPr>
              <w:pStyle w:val="111"/>
            </w:pPr>
            <w:r>
              <w:t>（1）原辅料用量</w:t>
            </w:r>
          </w:p>
          <w:p>
            <w:pPr>
              <w:pStyle w:val="139"/>
              <w:ind w:firstLine="480"/>
            </w:pPr>
            <w:r>
              <w:t>本项目年生产约1569t沥青混凝土，其主要为石油沥青、骨料、石粉混合拌制而成；其中石油沥青由云南省公路局统一调拨运输后储存于沥青储存罐中；骨料、粉料由本项目西北侧约10m处的</w:t>
            </w:r>
            <w:r>
              <w:rPr>
                <w:rStyle w:val="140"/>
              </w:rPr>
              <w:t>云龙公路分局河南石料场公路养护配套改扩建项目</w:t>
            </w:r>
            <w:r>
              <w:t>提供，本项目不设置存储区。沥青储存罐需要通过电能加热导热油提供保温加热，在炒料拌合过程中采用柴油作为燃烧介质。根据建设单位提供资料，项目营运期原辅料消耗量详见下表2-5。</w:t>
            </w:r>
          </w:p>
          <w:p>
            <w:pPr>
              <w:pStyle w:val="168"/>
            </w:pPr>
            <w:r>
              <w:t>表2-5   项目原辅材料及燃料的种类和用量一览表</w:t>
            </w:r>
          </w:p>
          <w:tbl>
            <w:tblPr>
              <w:tblStyle w:val="28"/>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39"/>
              <w:gridCol w:w="779"/>
              <w:gridCol w:w="1301"/>
              <w:gridCol w:w="3158"/>
              <w:gridCol w:w="72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pPr>
                  <w:r>
                    <w:t>序号</w:t>
                  </w:r>
                </w:p>
              </w:tc>
              <w:tc>
                <w:tcPr>
                  <w:tcW w:w="839" w:type="dxa"/>
                  <w:tcBorders>
                    <w:tl2br w:val="nil"/>
                    <w:tr2bl w:val="nil"/>
                  </w:tcBorders>
                  <w:vAlign w:val="center"/>
                </w:tcPr>
                <w:p>
                  <w:pPr>
                    <w:pStyle w:val="167"/>
                  </w:pPr>
                  <w:r>
                    <w:t>材料名称</w:t>
                  </w:r>
                </w:p>
              </w:tc>
              <w:tc>
                <w:tcPr>
                  <w:tcW w:w="779" w:type="dxa"/>
                  <w:tcBorders>
                    <w:tl2br w:val="nil"/>
                    <w:tr2bl w:val="nil"/>
                  </w:tcBorders>
                  <w:vAlign w:val="center"/>
                </w:tcPr>
                <w:p>
                  <w:pPr>
                    <w:pStyle w:val="167"/>
                  </w:pPr>
                  <w:r>
                    <w:t>来源</w:t>
                  </w:r>
                </w:p>
              </w:tc>
              <w:tc>
                <w:tcPr>
                  <w:tcW w:w="1301" w:type="dxa"/>
                  <w:tcBorders>
                    <w:tl2br w:val="nil"/>
                    <w:tr2bl w:val="nil"/>
                  </w:tcBorders>
                  <w:vAlign w:val="center"/>
                </w:tcPr>
                <w:p>
                  <w:pPr>
                    <w:pStyle w:val="167"/>
                  </w:pPr>
                  <w:r>
                    <w:t>年耗量（t/a）</w:t>
                  </w:r>
                </w:p>
              </w:tc>
              <w:tc>
                <w:tcPr>
                  <w:tcW w:w="3158" w:type="dxa"/>
                  <w:tcBorders>
                    <w:tl2br w:val="nil"/>
                    <w:tr2bl w:val="nil"/>
                  </w:tcBorders>
                  <w:vAlign w:val="center"/>
                </w:tcPr>
                <w:p>
                  <w:pPr>
                    <w:pStyle w:val="167"/>
                  </w:pPr>
                  <w:r>
                    <w:t>去向</w:t>
                  </w:r>
                </w:p>
              </w:tc>
              <w:tc>
                <w:tcPr>
                  <w:tcW w:w="728" w:type="dxa"/>
                  <w:tcBorders>
                    <w:tl2br w:val="nil"/>
                    <w:tr2bl w:val="nil"/>
                  </w:tcBorders>
                  <w:vAlign w:val="center"/>
                </w:tcPr>
                <w:p>
                  <w:pPr>
                    <w:pStyle w:val="167"/>
                  </w:pPr>
                  <w:r>
                    <w:t>存储位置</w:t>
                  </w:r>
                </w:p>
              </w:tc>
              <w:tc>
                <w:tcPr>
                  <w:tcW w:w="1098" w:type="dxa"/>
                  <w:tcBorders>
                    <w:tl2br w:val="nil"/>
                    <w:tr2bl w:val="nil"/>
                  </w:tcBorders>
                  <w:vAlign w:val="center"/>
                </w:tcPr>
                <w:p>
                  <w:pPr>
                    <w:pStyle w:val="167"/>
                  </w:pPr>
                  <w:r>
                    <w:t>最大存储量（t/a）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0" w:type="dxa"/>
                  <w:gridSpan w:val="7"/>
                  <w:tcBorders>
                    <w:tl2br w:val="nil"/>
                    <w:tr2bl w:val="nil"/>
                  </w:tcBorders>
                  <w:vAlign w:val="center"/>
                </w:tcPr>
                <w:p>
                  <w:pPr>
                    <w:pStyle w:val="167"/>
                  </w:pPr>
                  <w:r>
                    <w:t>一、原料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jc w:val="center"/>
              </w:trPr>
              <w:tc>
                <w:tcPr>
                  <w:tcW w:w="477" w:type="dxa"/>
                  <w:tcBorders>
                    <w:tl2br w:val="nil"/>
                    <w:tr2bl w:val="nil"/>
                  </w:tcBorders>
                  <w:vAlign w:val="center"/>
                </w:tcPr>
                <w:p>
                  <w:pPr>
                    <w:pStyle w:val="167"/>
                  </w:pPr>
                  <w:r>
                    <w:t>1</w:t>
                  </w:r>
                </w:p>
              </w:tc>
              <w:tc>
                <w:tcPr>
                  <w:tcW w:w="839" w:type="dxa"/>
                  <w:tcBorders>
                    <w:tl2br w:val="nil"/>
                    <w:tr2bl w:val="nil"/>
                  </w:tcBorders>
                  <w:vAlign w:val="center"/>
                </w:tcPr>
                <w:p>
                  <w:pPr>
                    <w:pStyle w:val="167"/>
                  </w:pPr>
                  <w:r>
                    <w:t>骨料</w:t>
                  </w:r>
                </w:p>
              </w:tc>
              <w:tc>
                <w:tcPr>
                  <w:tcW w:w="779" w:type="dxa"/>
                  <w:vMerge w:val="restart"/>
                  <w:tcBorders>
                    <w:tl2br w:val="nil"/>
                    <w:tr2bl w:val="nil"/>
                  </w:tcBorders>
                  <w:vAlign w:val="center"/>
                </w:tcPr>
                <w:p>
                  <w:pPr>
                    <w:pStyle w:val="167"/>
                  </w:pPr>
                  <w:r>
                    <w:t>云龙公路分局河南石料场公路养护配套改扩建项目供给</w:t>
                  </w:r>
                </w:p>
              </w:tc>
              <w:tc>
                <w:tcPr>
                  <w:tcW w:w="1301" w:type="dxa"/>
                  <w:vMerge w:val="restart"/>
                  <w:tcBorders>
                    <w:tl2br w:val="nil"/>
                    <w:tr2bl w:val="nil"/>
                  </w:tcBorders>
                  <w:vAlign w:val="center"/>
                </w:tcPr>
                <w:p>
                  <w:pPr>
                    <w:pStyle w:val="167"/>
                  </w:pPr>
                  <w:r>
                    <w:t>1514</w:t>
                  </w:r>
                </w:p>
              </w:tc>
              <w:tc>
                <w:tcPr>
                  <w:tcW w:w="3158" w:type="dxa"/>
                  <w:vMerge w:val="restart"/>
                  <w:tcBorders>
                    <w:tl2br w:val="nil"/>
                    <w:tr2bl w:val="nil"/>
                  </w:tcBorders>
                  <w:vAlign w:val="center"/>
                </w:tcPr>
                <w:p>
                  <w:pPr>
                    <w:pStyle w:val="167"/>
                  </w:pPr>
                  <w:r>
                    <w:t>用于沥青混凝土拌合</w:t>
                  </w:r>
                </w:p>
              </w:tc>
              <w:tc>
                <w:tcPr>
                  <w:tcW w:w="728" w:type="dxa"/>
                  <w:vMerge w:val="restart"/>
                  <w:tcBorders>
                    <w:tl2br w:val="nil"/>
                    <w:tr2bl w:val="nil"/>
                  </w:tcBorders>
                  <w:vAlign w:val="center"/>
                </w:tcPr>
                <w:p>
                  <w:pPr>
                    <w:pStyle w:val="167"/>
                  </w:pPr>
                  <w:r>
                    <w:t>/</w:t>
                  </w:r>
                </w:p>
              </w:tc>
              <w:tc>
                <w:tcPr>
                  <w:tcW w:w="1098" w:type="dxa"/>
                  <w:vMerge w:val="restart"/>
                  <w:tcBorders>
                    <w:tl2br w:val="nil"/>
                    <w:tr2bl w:val="nil"/>
                  </w:tcBorders>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rPr>
                      <w:lang w:bidi="ar"/>
                    </w:rPr>
                  </w:pPr>
                  <w:r>
                    <w:rPr>
                      <w:lang w:bidi="ar"/>
                    </w:rPr>
                    <w:t>2</w:t>
                  </w:r>
                </w:p>
              </w:tc>
              <w:tc>
                <w:tcPr>
                  <w:tcW w:w="839" w:type="dxa"/>
                  <w:tcBorders>
                    <w:tl2br w:val="nil"/>
                    <w:tr2bl w:val="nil"/>
                  </w:tcBorders>
                  <w:vAlign w:val="center"/>
                </w:tcPr>
                <w:p>
                  <w:pPr>
                    <w:pStyle w:val="167"/>
                    <w:rPr>
                      <w:lang w:bidi="ar"/>
                    </w:rPr>
                  </w:pPr>
                  <w:r>
                    <w:rPr>
                      <w:lang w:bidi="ar"/>
                    </w:rPr>
                    <w:t>粉料（石粉）</w:t>
                  </w:r>
                </w:p>
              </w:tc>
              <w:tc>
                <w:tcPr>
                  <w:tcW w:w="779" w:type="dxa"/>
                  <w:vMerge w:val="continue"/>
                  <w:tcBorders>
                    <w:tl2br w:val="nil"/>
                    <w:tr2bl w:val="nil"/>
                  </w:tcBorders>
                  <w:vAlign w:val="center"/>
                </w:tcPr>
                <w:p>
                  <w:pPr>
                    <w:pStyle w:val="167"/>
                    <w:rPr>
                      <w:lang w:bidi="ar"/>
                    </w:rPr>
                  </w:pPr>
                </w:p>
              </w:tc>
              <w:tc>
                <w:tcPr>
                  <w:tcW w:w="1301" w:type="dxa"/>
                  <w:vMerge w:val="continue"/>
                  <w:tcBorders>
                    <w:tl2br w:val="nil"/>
                    <w:tr2bl w:val="nil"/>
                  </w:tcBorders>
                  <w:vAlign w:val="center"/>
                </w:tcPr>
                <w:p>
                  <w:pPr>
                    <w:pStyle w:val="167"/>
                    <w:rPr>
                      <w:lang w:bidi="ar"/>
                    </w:rPr>
                  </w:pPr>
                </w:p>
              </w:tc>
              <w:tc>
                <w:tcPr>
                  <w:tcW w:w="3158" w:type="dxa"/>
                  <w:vMerge w:val="continue"/>
                  <w:tcBorders>
                    <w:tl2br w:val="nil"/>
                    <w:tr2bl w:val="nil"/>
                  </w:tcBorders>
                  <w:vAlign w:val="center"/>
                </w:tcPr>
                <w:p>
                  <w:pPr>
                    <w:pStyle w:val="167"/>
                  </w:pPr>
                </w:p>
              </w:tc>
              <w:tc>
                <w:tcPr>
                  <w:tcW w:w="728" w:type="dxa"/>
                  <w:vMerge w:val="continue"/>
                  <w:tcBorders>
                    <w:tl2br w:val="nil"/>
                    <w:tr2bl w:val="nil"/>
                  </w:tcBorders>
                  <w:vAlign w:val="center"/>
                </w:tcPr>
                <w:p>
                  <w:pPr>
                    <w:pStyle w:val="167"/>
                  </w:pPr>
                </w:p>
              </w:tc>
              <w:tc>
                <w:tcPr>
                  <w:tcW w:w="1098"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pPr>
                  <w:r>
                    <w:rPr>
                      <w:lang w:bidi="ar"/>
                    </w:rPr>
                    <w:t>3</w:t>
                  </w:r>
                </w:p>
              </w:tc>
              <w:tc>
                <w:tcPr>
                  <w:tcW w:w="839" w:type="dxa"/>
                  <w:tcBorders>
                    <w:tl2br w:val="nil"/>
                    <w:tr2bl w:val="nil"/>
                  </w:tcBorders>
                  <w:vAlign w:val="center"/>
                </w:tcPr>
                <w:p>
                  <w:pPr>
                    <w:pStyle w:val="167"/>
                  </w:pPr>
                  <w:r>
                    <w:t>石油沥青</w:t>
                  </w:r>
                </w:p>
              </w:tc>
              <w:tc>
                <w:tcPr>
                  <w:tcW w:w="779" w:type="dxa"/>
                  <w:tcBorders>
                    <w:tl2br w:val="nil"/>
                    <w:tr2bl w:val="nil"/>
                  </w:tcBorders>
                  <w:vAlign w:val="center"/>
                </w:tcPr>
                <w:p>
                  <w:pPr>
                    <w:pStyle w:val="167"/>
                  </w:pPr>
                  <w:r>
                    <w:t>云龙公路局调拨</w:t>
                  </w:r>
                </w:p>
              </w:tc>
              <w:tc>
                <w:tcPr>
                  <w:tcW w:w="1301" w:type="dxa"/>
                  <w:tcBorders>
                    <w:tl2br w:val="nil"/>
                    <w:tr2bl w:val="nil"/>
                  </w:tcBorders>
                  <w:vAlign w:val="center"/>
                </w:tcPr>
                <w:p>
                  <w:pPr>
                    <w:pStyle w:val="167"/>
                  </w:pPr>
                  <w:r>
                    <w:t>86</w:t>
                  </w:r>
                </w:p>
              </w:tc>
              <w:tc>
                <w:tcPr>
                  <w:tcW w:w="3158" w:type="dxa"/>
                  <w:vMerge w:val="continue"/>
                  <w:tcBorders>
                    <w:tl2br w:val="nil"/>
                    <w:tr2bl w:val="nil"/>
                  </w:tcBorders>
                  <w:vAlign w:val="center"/>
                </w:tcPr>
                <w:p>
                  <w:pPr>
                    <w:pStyle w:val="167"/>
                  </w:pPr>
                </w:p>
              </w:tc>
              <w:tc>
                <w:tcPr>
                  <w:tcW w:w="728" w:type="dxa"/>
                  <w:tcBorders>
                    <w:tl2br w:val="nil"/>
                    <w:tr2bl w:val="nil"/>
                  </w:tcBorders>
                  <w:vAlign w:val="center"/>
                </w:tcPr>
                <w:p>
                  <w:pPr>
                    <w:pStyle w:val="167"/>
                  </w:pPr>
                  <w:r>
                    <w:rPr>
                      <w:rStyle w:val="99"/>
                    </w:rPr>
                    <w:t>沥青存储罐</w:t>
                  </w:r>
                </w:p>
              </w:tc>
              <w:tc>
                <w:tcPr>
                  <w:tcW w:w="1098" w:type="dxa"/>
                  <w:tcBorders>
                    <w:tl2br w:val="nil"/>
                    <w:tr2bl w:val="nil"/>
                  </w:tcBorders>
                  <w:vAlign w:val="center"/>
                </w:tcPr>
                <w:p>
                  <w:pPr>
                    <w:pStyle w:val="167"/>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0" w:type="dxa"/>
                  <w:gridSpan w:val="7"/>
                  <w:tcBorders>
                    <w:tl2br w:val="nil"/>
                    <w:tr2bl w:val="nil"/>
                  </w:tcBorders>
                  <w:vAlign w:val="center"/>
                </w:tcPr>
                <w:p>
                  <w:pPr>
                    <w:pStyle w:val="167"/>
                  </w:pPr>
                  <w:r>
                    <w:t>二、辅料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rPr>
                      <w:lang w:bidi="ar"/>
                    </w:rPr>
                  </w:pPr>
                  <w:r>
                    <w:rPr>
                      <w:lang w:bidi="ar"/>
                    </w:rPr>
                    <w:t>4</w:t>
                  </w:r>
                </w:p>
              </w:tc>
              <w:tc>
                <w:tcPr>
                  <w:tcW w:w="839" w:type="dxa"/>
                  <w:tcBorders>
                    <w:tl2br w:val="nil"/>
                    <w:tr2bl w:val="nil"/>
                  </w:tcBorders>
                  <w:vAlign w:val="center"/>
                </w:tcPr>
                <w:p>
                  <w:pPr>
                    <w:pStyle w:val="167"/>
                    <w:rPr>
                      <w:lang w:bidi="ar"/>
                    </w:rPr>
                  </w:pPr>
                  <w:r>
                    <w:t>导热油</w:t>
                  </w:r>
                </w:p>
              </w:tc>
              <w:tc>
                <w:tcPr>
                  <w:tcW w:w="779" w:type="dxa"/>
                  <w:vMerge w:val="restart"/>
                  <w:tcBorders>
                    <w:tl2br w:val="nil"/>
                    <w:tr2bl w:val="nil"/>
                  </w:tcBorders>
                  <w:vAlign w:val="center"/>
                </w:tcPr>
                <w:p>
                  <w:pPr>
                    <w:pStyle w:val="167"/>
                    <w:rPr>
                      <w:lang w:bidi="ar"/>
                    </w:rPr>
                  </w:pPr>
                  <w:r>
                    <w:rPr>
                      <w:lang w:bidi="ar"/>
                    </w:rPr>
                    <w:t>外购</w:t>
                  </w:r>
                </w:p>
              </w:tc>
              <w:tc>
                <w:tcPr>
                  <w:tcW w:w="1301" w:type="dxa"/>
                  <w:tcBorders>
                    <w:tl2br w:val="nil"/>
                    <w:tr2bl w:val="nil"/>
                  </w:tcBorders>
                  <w:vAlign w:val="center"/>
                </w:tcPr>
                <w:p>
                  <w:pPr>
                    <w:pStyle w:val="167"/>
                  </w:pPr>
                  <w:r>
                    <w:t>3（5年更换一次）</w:t>
                  </w:r>
                </w:p>
              </w:tc>
              <w:tc>
                <w:tcPr>
                  <w:tcW w:w="3158" w:type="dxa"/>
                  <w:tcBorders>
                    <w:tl2br w:val="nil"/>
                    <w:tr2bl w:val="nil"/>
                  </w:tcBorders>
                  <w:vAlign w:val="center"/>
                </w:tcPr>
                <w:p>
                  <w:pPr>
                    <w:pStyle w:val="167"/>
                  </w:pPr>
                  <w:r>
                    <w:t>作为热量交换介质用于沥青加热保温，由设备厂家上门更换，产生的废导热油暂存于危险废物暂存间，委托相关资质单位定期清运处置。</w:t>
                  </w:r>
                </w:p>
              </w:tc>
              <w:tc>
                <w:tcPr>
                  <w:tcW w:w="728" w:type="dxa"/>
                  <w:vMerge w:val="restart"/>
                  <w:tcBorders>
                    <w:tl2br w:val="nil"/>
                    <w:tr2bl w:val="nil"/>
                  </w:tcBorders>
                  <w:vAlign w:val="center"/>
                </w:tcPr>
                <w:p>
                  <w:pPr>
                    <w:pStyle w:val="167"/>
                  </w:pPr>
                  <w:r>
                    <w:t>危险废物暂存间</w:t>
                  </w:r>
                </w:p>
              </w:tc>
              <w:tc>
                <w:tcPr>
                  <w:tcW w:w="1098" w:type="dxa"/>
                  <w:tcBorders>
                    <w:tl2br w:val="nil"/>
                    <w:tr2bl w:val="nil"/>
                  </w:tcBorders>
                  <w:vAlign w:val="center"/>
                </w:tcPr>
                <w:p>
                  <w:pPr>
                    <w:pStyle w:val="167"/>
                  </w:pPr>
                  <w:r>
                    <w:t>2.9（废导热油）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rPr>
                      <w:lang w:bidi="ar"/>
                    </w:rPr>
                  </w:pPr>
                  <w:r>
                    <w:rPr>
                      <w:lang w:bidi="ar"/>
                    </w:rPr>
                    <w:t>5</w:t>
                  </w:r>
                </w:p>
              </w:tc>
              <w:tc>
                <w:tcPr>
                  <w:tcW w:w="839" w:type="dxa"/>
                  <w:tcBorders>
                    <w:tl2br w:val="nil"/>
                    <w:tr2bl w:val="nil"/>
                  </w:tcBorders>
                  <w:vAlign w:val="center"/>
                </w:tcPr>
                <w:p>
                  <w:pPr>
                    <w:pStyle w:val="167"/>
                    <w:rPr>
                      <w:lang w:bidi="ar"/>
                    </w:rPr>
                  </w:pPr>
                  <w:r>
                    <w:rPr>
                      <w:lang w:bidi="ar"/>
                    </w:rPr>
                    <w:t>润滑油</w:t>
                  </w:r>
                </w:p>
              </w:tc>
              <w:tc>
                <w:tcPr>
                  <w:tcW w:w="779" w:type="dxa"/>
                  <w:vMerge w:val="continue"/>
                  <w:tcBorders>
                    <w:tl2br w:val="nil"/>
                    <w:tr2bl w:val="nil"/>
                  </w:tcBorders>
                  <w:vAlign w:val="center"/>
                </w:tcPr>
                <w:p>
                  <w:pPr>
                    <w:pStyle w:val="167"/>
                    <w:rPr>
                      <w:lang w:bidi="ar"/>
                    </w:rPr>
                  </w:pPr>
                </w:p>
              </w:tc>
              <w:tc>
                <w:tcPr>
                  <w:tcW w:w="1301" w:type="dxa"/>
                  <w:tcBorders>
                    <w:tl2br w:val="nil"/>
                    <w:tr2bl w:val="nil"/>
                  </w:tcBorders>
                  <w:vAlign w:val="center"/>
                </w:tcPr>
                <w:p>
                  <w:pPr>
                    <w:pStyle w:val="167"/>
                    <w:rPr>
                      <w:lang w:bidi="ar"/>
                    </w:rPr>
                  </w:pPr>
                  <w:r>
                    <w:rPr>
                      <w:lang w:bidi="ar"/>
                    </w:rPr>
                    <w:t>0.05</w:t>
                  </w:r>
                </w:p>
              </w:tc>
              <w:tc>
                <w:tcPr>
                  <w:tcW w:w="3158" w:type="dxa"/>
                  <w:tcBorders>
                    <w:tl2br w:val="nil"/>
                    <w:tr2bl w:val="nil"/>
                  </w:tcBorders>
                  <w:vAlign w:val="center"/>
                </w:tcPr>
                <w:p>
                  <w:pPr>
                    <w:pStyle w:val="167"/>
                  </w:pPr>
                  <w:r>
                    <w:t>用于机械设备维护检修，产生的废润滑油暂存于危险废物暂存间，委托相关资质单位定期清运处置。</w:t>
                  </w:r>
                </w:p>
              </w:tc>
              <w:tc>
                <w:tcPr>
                  <w:tcW w:w="728" w:type="dxa"/>
                  <w:vMerge w:val="continue"/>
                  <w:tcBorders>
                    <w:tl2br w:val="nil"/>
                    <w:tr2bl w:val="nil"/>
                  </w:tcBorders>
                  <w:vAlign w:val="center"/>
                </w:tcPr>
                <w:p>
                  <w:pPr>
                    <w:pStyle w:val="167"/>
                  </w:pPr>
                </w:p>
              </w:tc>
              <w:tc>
                <w:tcPr>
                  <w:tcW w:w="1098" w:type="dxa"/>
                  <w:tcBorders>
                    <w:tl2br w:val="nil"/>
                    <w:tr2bl w:val="nil"/>
                  </w:tcBorders>
                  <w:vAlign w:val="center"/>
                </w:tcPr>
                <w:p>
                  <w:pPr>
                    <w:pStyle w:val="167"/>
                  </w:pPr>
                  <w: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rPr>
                      <w:lang w:bidi="ar"/>
                    </w:rPr>
                  </w:pPr>
                  <w:r>
                    <w:rPr>
                      <w:lang w:bidi="ar"/>
                    </w:rPr>
                    <w:t>6</w:t>
                  </w:r>
                </w:p>
              </w:tc>
              <w:tc>
                <w:tcPr>
                  <w:tcW w:w="839" w:type="dxa"/>
                  <w:tcBorders>
                    <w:tl2br w:val="nil"/>
                    <w:tr2bl w:val="nil"/>
                  </w:tcBorders>
                  <w:vAlign w:val="center"/>
                </w:tcPr>
                <w:p>
                  <w:pPr>
                    <w:pStyle w:val="167"/>
                    <w:rPr>
                      <w:lang w:bidi="ar"/>
                    </w:rPr>
                  </w:pPr>
                  <w:r>
                    <w:rPr>
                      <w:lang w:bidi="ar"/>
                    </w:rPr>
                    <w:t>活性炭</w:t>
                  </w:r>
                </w:p>
              </w:tc>
              <w:tc>
                <w:tcPr>
                  <w:tcW w:w="779" w:type="dxa"/>
                  <w:vMerge w:val="continue"/>
                  <w:tcBorders>
                    <w:tl2br w:val="nil"/>
                    <w:tr2bl w:val="nil"/>
                  </w:tcBorders>
                  <w:vAlign w:val="center"/>
                </w:tcPr>
                <w:p>
                  <w:pPr>
                    <w:pStyle w:val="167"/>
                    <w:rPr>
                      <w:lang w:bidi="ar"/>
                    </w:rPr>
                  </w:pPr>
                </w:p>
              </w:tc>
              <w:tc>
                <w:tcPr>
                  <w:tcW w:w="1301" w:type="dxa"/>
                  <w:tcBorders>
                    <w:tl2br w:val="nil"/>
                    <w:tr2bl w:val="nil"/>
                  </w:tcBorders>
                  <w:vAlign w:val="center"/>
                </w:tcPr>
                <w:p>
                  <w:pPr>
                    <w:pStyle w:val="167"/>
                    <w:rPr>
                      <w:lang w:bidi="ar"/>
                    </w:rPr>
                  </w:pPr>
                  <w:r>
                    <w:rPr>
                      <w:lang w:bidi="ar"/>
                    </w:rPr>
                    <w:t>0.21161</w:t>
                  </w:r>
                </w:p>
              </w:tc>
              <w:tc>
                <w:tcPr>
                  <w:tcW w:w="3158" w:type="dxa"/>
                  <w:tcBorders>
                    <w:tl2br w:val="nil"/>
                    <w:tr2bl w:val="nil"/>
                  </w:tcBorders>
                  <w:vAlign w:val="center"/>
                </w:tcPr>
                <w:p>
                  <w:pPr>
                    <w:pStyle w:val="167"/>
                  </w:pPr>
                  <w:r>
                    <w:t>用于有机废气治理，产生的废活性炭暂存于危险废物暂存间，委托相关资质单位定期清运处置。</w:t>
                  </w:r>
                </w:p>
              </w:tc>
              <w:tc>
                <w:tcPr>
                  <w:tcW w:w="728" w:type="dxa"/>
                  <w:vMerge w:val="continue"/>
                  <w:tcBorders>
                    <w:tl2br w:val="nil"/>
                    <w:tr2bl w:val="nil"/>
                  </w:tcBorders>
                  <w:vAlign w:val="center"/>
                </w:tcPr>
                <w:p>
                  <w:pPr>
                    <w:pStyle w:val="167"/>
                  </w:pPr>
                </w:p>
              </w:tc>
              <w:tc>
                <w:tcPr>
                  <w:tcW w:w="1098" w:type="dxa"/>
                  <w:tcBorders>
                    <w:tl2br w:val="nil"/>
                    <w:tr2bl w:val="nil"/>
                  </w:tcBorders>
                  <w:vAlign w:val="center"/>
                </w:tcPr>
                <w:p>
                  <w:pPr>
                    <w:pStyle w:val="167"/>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0" w:type="dxa"/>
                  <w:gridSpan w:val="7"/>
                  <w:tcBorders>
                    <w:tl2br w:val="nil"/>
                    <w:tr2bl w:val="nil"/>
                  </w:tcBorders>
                  <w:vAlign w:val="center"/>
                </w:tcPr>
                <w:p>
                  <w:pPr>
                    <w:pStyle w:val="167"/>
                  </w:pPr>
                  <w:r>
                    <w:t>三、能耗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rPr>
                      <w:lang w:bidi="ar"/>
                    </w:rPr>
                  </w:pPr>
                  <w:r>
                    <w:rPr>
                      <w:lang w:bidi="ar"/>
                    </w:rPr>
                    <w:t>7</w:t>
                  </w:r>
                </w:p>
              </w:tc>
              <w:tc>
                <w:tcPr>
                  <w:tcW w:w="839" w:type="dxa"/>
                  <w:tcBorders>
                    <w:tl2br w:val="nil"/>
                    <w:tr2bl w:val="nil"/>
                  </w:tcBorders>
                  <w:vAlign w:val="center"/>
                </w:tcPr>
                <w:p>
                  <w:pPr>
                    <w:pStyle w:val="167"/>
                    <w:rPr>
                      <w:lang w:bidi="ar"/>
                    </w:rPr>
                  </w:pPr>
                  <w:r>
                    <w:rPr>
                      <w:lang w:bidi="ar"/>
                    </w:rPr>
                    <w:t>新鲜水</w:t>
                  </w:r>
                </w:p>
              </w:tc>
              <w:tc>
                <w:tcPr>
                  <w:tcW w:w="779" w:type="dxa"/>
                  <w:tcBorders>
                    <w:tl2br w:val="nil"/>
                    <w:tr2bl w:val="nil"/>
                  </w:tcBorders>
                  <w:vAlign w:val="center"/>
                </w:tcPr>
                <w:p>
                  <w:pPr>
                    <w:pStyle w:val="167"/>
                    <w:rPr>
                      <w:lang w:bidi="ar"/>
                    </w:rPr>
                  </w:pPr>
                  <w:r>
                    <w:rPr>
                      <w:lang w:bidi="ar"/>
                    </w:rPr>
                    <w:t>周边山箐水供给</w:t>
                  </w:r>
                </w:p>
              </w:tc>
              <w:tc>
                <w:tcPr>
                  <w:tcW w:w="1301" w:type="dxa"/>
                  <w:tcBorders>
                    <w:tl2br w:val="nil"/>
                    <w:tr2bl w:val="nil"/>
                  </w:tcBorders>
                  <w:vAlign w:val="center"/>
                </w:tcPr>
                <w:p>
                  <w:pPr>
                    <w:pStyle w:val="167"/>
                    <w:rPr>
                      <w:lang w:bidi="ar"/>
                    </w:rPr>
                  </w:pPr>
                  <w:r>
                    <w:rPr>
                      <w:lang w:bidi="ar"/>
                    </w:rPr>
                    <w:t>30.67</w:t>
                  </w:r>
                </w:p>
              </w:tc>
              <w:tc>
                <w:tcPr>
                  <w:tcW w:w="3158" w:type="dxa"/>
                  <w:tcBorders>
                    <w:tl2br w:val="nil"/>
                    <w:tr2bl w:val="nil"/>
                  </w:tcBorders>
                  <w:vAlign w:val="center"/>
                </w:tcPr>
                <w:p>
                  <w:pPr>
                    <w:pStyle w:val="167"/>
                  </w:pPr>
                  <w:r>
                    <w:t>用于生产、办公</w:t>
                  </w:r>
                </w:p>
              </w:tc>
              <w:tc>
                <w:tcPr>
                  <w:tcW w:w="728" w:type="dxa"/>
                  <w:tcBorders>
                    <w:tl2br w:val="nil"/>
                    <w:tr2bl w:val="nil"/>
                  </w:tcBorders>
                  <w:vAlign w:val="center"/>
                </w:tcPr>
                <w:p>
                  <w:pPr>
                    <w:pStyle w:val="167"/>
                  </w:pPr>
                  <w:r>
                    <w:t>/</w:t>
                  </w:r>
                </w:p>
              </w:tc>
              <w:tc>
                <w:tcPr>
                  <w:tcW w:w="1098" w:type="dxa"/>
                  <w:tcBorders>
                    <w:tl2br w:val="nil"/>
                    <w:tr2bl w:val="nil"/>
                  </w:tcBorders>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rPr>
                      <w:lang w:bidi="ar"/>
                    </w:rPr>
                  </w:pPr>
                  <w:r>
                    <w:rPr>
                      <w:lang w:bidi="ar"/>
                    </w:rPr>
                    <w:t>8</w:t>
                  </w:r>
                </w:p>
              </w:tc>
              <w:tc>
                <w:tcPr>
                  <w:tcW w:w="839" w:type="dxa"/>
                  <w:tcBorders>
                    <w:tl2br w:val="nil"/>
                    <w:tr2bl w:val="nil"/>
                  </w:tcBorders>
                  <w:vAlign w:val="center"/>
                </w:tcPr>
                <w:p>
                  <w:pPr>
                    <w:pStyle w:val="167"/>
                    <w:rPr>
                      <w:lang w:bidi="ar"/>
                    </w:rPr>
                  </w:pPr>
                  <w:r>
                    <w:rPr>
                      <w:lang w:bidi="ar"/>
                    </w:rPr>
                    <w:t>电</w:t>
                  </w:r>
                </w:p>
              </w:tc>
              <w:tc>
                <w:tcPr>
                  <w:tcW w:w="779" w:type="dxa"/>
                  <w:tcBorders>
                    <w:tl2br w:val="nil"/>
                    <w:tr2bl w:val="nil"/>
                  </w:tcBorders>
                  <w:vAlign w:val="center"/>
                </w:tcPr>
                <w:p>
                  <w:pPr>
                    <w:pStyle w:val="167"/>
                    <w:rPr>
                      <w:lang w:bidi="ar"/>
                    </w:rPr>
                  </w:pPr>
                  <w:r>
                    <w:rPr>
                      <w:lang w:bidi="ar"/>
                    </w:rPr>
                    <w:t>市政电网供给</w:t>
                  </w:r>
                </w:p>
              </w:tc>
              <w:tc>
                <w:tcPr>
                  <w:tcW w:w="1301" w:type="dxa"/>
                  <w:tcBorders>
                    <w:tl2br w:val="nil"/>
                    <w:tr2bl w:val="nil"/>
                  </w:tcBorders>
                  <w:vAlign w:val="center"/>
                </w:tcPr>
                <w:p>
                  <w:pPr>
                    <w:pStyle w:val="167"/>
                    <w:rPr>
                      <w:lang w:bidi="ar"/>
                    </w:rPr>
                  </w:pPr>
                  <w:r>
                    <w:rPr>
                      <w:lang w:bidi="ar"/>
                    </w:rPr>
                    <w:t>8000Kw*h/a</w:t>
                  </w:r>
                </w:p>
              </w:tc>
              <w:tc>
                <w:tcPr>
                  <w:tcW w:w="3158" w:type="dxa"/>
                  <w:tcBorders>
                    <w:tl2br w:val="nil"/>
                    <w:tr2bl w:val="nil"/>
                  </w:tcBorders>
                  <w:vAlign w:val="center"/>
                </w:tcPr>
                <w:p>
                  <w:pPr>
                    <w:pStyle w:val="167"/>
                  </w:pPr>
                  <w:r>
                    <w:t>用于沥青加热、生产设备环保设施及照明设备</w:t>
                  </w:r>
                </w:p>
              </w:tc>
              <w:tc>
                <w:tcPr>
                  <w:tcW w:w="728" w:type="dxa"/>
                  <w:tcBorders>
                    <w:tl2br w:val="nil"/>
                    <w:tr2bl w:val="nil"/>
                  </w:tcBorders>
                  <w:vAlign w:val="center"/>
                </w:tcPr>
                <w:p>
                  <w:pPr>
                    <w:pStyle w:val="167"/>
                  </w:pPr>
                  <w:r>
                    <w:t>/</w:t>
                  </w:r>
                </w:p>
              </w:tc>
              <w:tc>
                <w:tcPr>
                  <w:tcW w:w="1098" w:type="dxa"/>
                  <w:tcBorders>
                    <w:tl2br w:val="nil"/>
                    <w:tr2bl w:val="nil"/>
                  </w:tcBorders>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tcBorders>
                    <w:tl2br w:val="nil"/>
                    <w:tr2bl w:val="nil"/>
                  </w:tcBorders>
                  <w:vAlign w:val="center"/>
                </w:tcPr>
                <w:p>
                  <w:pPr>
                    <w:pStyle w:val="167"/>
                    <w:rPr>
                      <w:lang w:bidi="ar"/>
                    </w:rPr>
                  </w:pPr>
                  <w:r>
                    <w:rPr>
                      <w:lang w:bidi="ar"/>
                    </w:rPr>
                    <w:t>9</w:t>
                  </w:r>
                </w:p>
              </w:tc>
              <w:tc>
                <w:tcPr>
                  <w:tcW w:w="839" w:type="dxa"/>
                  <w:tcBorders>
                    <w:tl2br w:val="nil"/>
                    <w:tr2bl w:val="nil"/>
                  </w:tcBorders>
                  <w:vAlign w:val="center"/>
                </w:tcPr>
                <w:p>
                  <w:pPr>
                    <w:pStyle w:val="167"/>
                    <w:rPr>
                      <w:lang w:bidi="ar"/>
                    </w:rPr>
                  </w:pPr>
                  <w:r>
                    <w:rPr>
                      <w:lang w:bidi="ar"/>
                    </w:rPr>
                    <w:t>柴油</w:t>
                  </w:r>
                </w:p>
              </w:tc>
              <w:tc>
                <w:tcPr>
                  <w:tcW w:w="779" w:type="dxa"/>
                  <w:tcBorders>
                    <w:tl2br w:val="nil"/>
                    <w:tr2bl w:val="nil"/>
                  </w:tcBorders>
                  <w:vAlign w:val="center"/>
                </w:tcPr>
                <w:p>
                  <w:pPr>
                    <w:pStyle w:val="167"/>
                    <w:rPr>
                      <w:lang w:bidi="ar"/>
                    </w:rPr>
                  </w:pPr>
                  <w:r>
                    <w:rPr>
                      <w:lang w:bidi="ar"/>
                    </w:rPr>
                    <w:t>外购</w:t>
                  </w:r>
                </w:p>
              </w:tc>
              <w:tc>
                <w:tcPr>
                  <w:tcW w:w="1301" w:type="dxa"/>
                  <w:tcBorders>
                    <w:tl2br w:val="nil"/>
                    <w:tr2bl w:val="nil"/>
                  </w:tcBorders>
                  <w:vAlign w:val="center"/>
                </w:tcPr>
                <w:p>
                  <w:pPr>
                    <w:pStyle w:val="167"/>
                    <w:rPr>
                      <w:lang w:bidi="ar"/>
                    </w:rPr>
                  </w:pPr>
                  <w:r>
                    <w:rPr>
                      <w:lang w:bidi="ar"/>
                    </w:rPr>
                    <w:t>5</w:t>
                  </w:r>
                </w:p>
              </w:tc>
              <w:tc>
                <w:tcPr>
                  <w:tcW w:w="3158" w:type="dxa"/>
                  <w:tcBorders>
                    <w:tl2br w:val="nil"/>
                    <w:tr2bl w:val="nil"/>
                  </w:tcBorders>
                  <w:vAlign w:val="center"/>
                </w:tcPr>
                <w:p>
                  <w:pPr>
                    <w:pStyle w:val="167"/>
                  </w:pPr>
                  <w:r>
                    <w:t>用于骨料及粉料烘干加热</w:t>
                  </w:r>
                </w:p>
              </w:tc>
              <w:tc>
                <w:tcPr>
                  <w:tcW w:w="728" w:type="dxa"/>
                  <w:tcBorders>
                    <w:tl2br w:val="nil"/>
                    <w:tr2bl w:val="nil"/>
                  </w:tcBorders>
                  <w:vAlign w:val="center"/>
                </w:tcPr>
                <w:p>
                  <w:pPr>
                    <w:pStyle w:val="167"/>
                  </w:pPr>
                  <w:r>
                    <w:t>柴油储罐</w:t>
                  </w:r>
                </w:p>
              </w:tc>
              <w:tc>
                <w:tcPr>
                  <w:tcW w:w="1098" w:type="dxa"/>
                  <w:tcBorders>
                    <w:tl2br w:val="nil"/>
                    <w:tr2bl w:val="nil"/>
                  </w:tcBorders>
                  <w:vAlign w:val="center"/>
                </w:tcPr>
                <w:p>
                  <w:pPr>
                    <w:pStyle w:val="167"/>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0" w:type="dxa"/>
                  <w:gridSpan w:val="7"/>
                  <w:tcBorders>
                    <w:tl2br w:val="nil"/>
                    <w:tr2bl w:val="nil"/>
                  </w:tcBorders>
                  <w:vAlign w:val="center"/>
                </w:tcPr>
                <w:p>
                  <w:pPr>
                    <w:pStyle w:val="167"/>
                  </w:pPr>
                  <w:r>
                    <w:t>备注:项目骨料和粉料烘干过程中自身水分将会蒸发损失，由于装卸过程需采取酒水降尘等措施，本次评价骨料和粉料含水量按2%计。</w:t>
                  </w:r>
                </w:p>
              </w:tc>
            </w:tr>
          </w:tbl>
          <w:p>
            <w:pPr>
              <w:pStyle w:val="139"/>
              <w:ind w:firstLine="480"/>
            </w:pPr>
            <w:r>
              <w:t>项目运营期物料平衡图见下图2-1。</w:t>
            </w:r>
          </w:p>
          <w:p>
            <w:pPr>
              <w:pStyle w:val="111"/>
            </w:pPr>
            <w:r>
              <w:object>
                <v:shape id="_x0000_i1025" o:spt="75" type="#_x0000_t75" style="height:141.8pt;width:385.3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168"/>
            </w:pPr>
            <w:r>
              <w:t>图2-1   项目营运期物料平衡图  单位:t/a</w:t>
            </w:r>
          </w:p>
          <w:p>
            <w:pPr>
              <w:pStyle w:val="111"/>
            </w:pPr>
            <w:r>
              <w:t>（2）原辅料理化性质</w:t>
            </w:r>
          </w:p>
          <w:p>
            <w:pPr>
              <w:pStyle w:val="139"/>
              <w:ind w:firstLine="480"/>
            </w:pPr>
            <w:r>
              <w:t>项目主要原辅料理化性质见表2-6。</w:t>
            </w:r>
          </w:p>
          <w:p>
            <w:pPr>
              <w:pStyle w:val="168"/>
            </w:pPr>
            <w:r>
              <w:t>表2-6   项目主要原辅材料理化性质一览表</w:t>
            </w:r>
          </w:p>
          <w:tbl>
            <w:tblPr>
              <w:tblStyle w:val="28"/>
              <w:tblW w:w="837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71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jc w:val="center"/>
              </w:trPr>
              <w:tc>
                <w:tcPr>
                  <w:tcW w:w="1216" w:type="dxa"/>
                  <w:tcBorders>
                    <w:tl2br w:val="nil"/>
                    <w:tr2bl w:val="nil"/>
                  </w:tcBorders>
                  <w:vAlign w:val="center"/>
                </w:tcPr>
                <w:p>
                  <w:pPr>
                    <w:pStyle w:val="167"/>
                  </w:pPr>
                  <w:r>
                    <w:t>物料名称</w:t>
                  </w:r>
                </w:p>
              </w:tc>
              <w:tc>
                <w:tcPr>
                  <w:tcW w:w="7161" w:type="dxa"/>
                  <w:tcBorders>
                    <w:tl2br w:val="nil"/>
                    <w:tr2bl w:val="nil"/>
                  </w:tcBorders>
                  <w:vAlign w:val="center"/>
                </w:tcPr>
                <w:p>
                  <w:pPr>
                    <w:pStyle w:val="167"/>
                  </w:pPr>
                  <w:r>
                    <w:t>理化性质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jc w:val="center"/>
              </w:trPr>
              <w:tc>
                <w:tcPr>
                  <w:tcW w:w="1216" w:type="dxa"/>
                  <w:tcBorders>
                    <w:tl2br w:val="nil"/>
                    <w:tr2bl w:val="nil"/>
                  </w:tcBorders>
                  <w:vAlign w:val="center"/>
                </w:tcPr>
                <w:p>
                  <w:pPr>
                    <w:pStyle w:val="167"/>
                  </w:pPr>
                  <w:r>
                    <w:t>石油沥青</w:t>
                  </w:r>
                </w:p>
              </w:tc>
              <w:tc>
                <w:tcPr>
                  <w:tcW w:w="7161" w:type="dxa"/>
                  <w:tcBorders>
                    <w:tl2br w:val="nil"/>
                    <w:tr2bl w:val="nil"/>
                  </w:tcBorders>
                  <w:vAlign w:val="center"/>
                </w:tcPr>
                <w:p>
                  <w:pPr>
                    <w:pStyle w:val="167"/>
                    <w:rPr>
                      <w:lang w:bidi="ar"/>
                    </w:rPr>
                  </w:pPr>
                  <w:r>
                    <w:rPr>
                      <w:shd w:val="clear" w:color="auto" w:fill="FFFFFF"/>
                    </w:rPr>
                    <w:t>道路石油沥青主要成分是沥青质和树脂，其次有高沸点矿物油和少量的氧、硫和氯的化合物，有光泽，呈液体、半固体或固体状态，低温时质脆，粘结性和防腐性良好。常温下为黑色固体，属于非晶体，没有固定熔点，引燃温度为485℃。本项目所使用的沥青为道路石油沥青，产地为昆仑，针入度（25℃，100g，5s （0.1mm））为85mm，软化点为46.5℃，延度（15℃，5cm/min）＞100cm。对照《危险化学品名录》（2015 年版），石油沥青不属于危险化学品。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jc w:val="center"/>
              </w:trPr>
              <w:tc>
                <w:tcPr>
                  <w:tcW w:w="1216" w:type="dxa"/>
                  <w:tcBorders>
                    <w:tl2br w:val="nil"/>
                    <w:tr2bl w:val="nil"/>
                  </w:tcBorders>
                  <w:vAlign w:val="center"/>
                </w:tcPr>
                <w:p>
                  <w:pPr>
                    <w:pStyle w:val="167"/>
                  </w:pPr>
                  <w:r>
                    <w:t>导热油</w:t>
                  </w:r>
                </w:p>
              </w:tc>
              <w:tc>
                <w:tcPr>
                  <w:tcW w:w="7161" w:type="dxa"/>
                  <w:tcBorders>
                    <w:tl2br w:val="nil"/>
                    <w:tr2bl w:val="nil"/>
                  </w:tcBorders>
                  <w:vAlign w:val="center"/>
                </w:tcPr>
                <w:p>
                  <w:pPr>
                    <w:pStyle w:val="167"/>
                    <w:rPr>
                      <w:shd w:val="clear" w:color="auto" w:fill="FFFFFF"/>
                    </w:rPr>
                  </w:pPr>
                  <w:r>
                    <w:t>导热油又称传热油、热载体油，是一种热量的传递介质，具有加热均匀、调温控温准确，能在低蒸汽压下产生高温，传热效果好，节能，输送和操作方便等特点。项目所采用的导热油主体成分为精制矿物油，是以精制矿物油加入抗氧剂、防焦剂等添加剂制成的热传导液，具有无毒、无味，在常温下不易氧化，无需氧封等特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jc w:val="center"/>
              </w:trPr>
              <w:tc>
                <w:tcPr>
                  <w:tcW w:w="1216" w:type="dxa"/>
                  <w:tcBorders>
                    <w:tl2br w:val="nil"/>
                    <w:tr2bl w:val="nil"/>
                  </w:tcBorders>
                  <w:vAlign w:val="center"/>
                </w:tcPr>
                <w:p>
                  <w:pPr>
                    <w:pStyle w:val="167"/>
                  </w:pPr>
                  <w:r>
                    <w:t>柴油</w:t>
                  </w:r>
                </w:p>
              </w:tc>
              <w:tc>
                <w:tcPr>
                  <w:tcW w:w="7161" w:type="dxa"/>
                  <w:tcBorders>
                    <w:tl2br w:val="nil"/>
                    <w:tr2bl w:val="nil"/>
                  </w:tcBorders>
                  <w:vAlign w:val="center"/>
                </w:tcPr>
                <w:p>
                  <w:pPr>
                    <w:pStyle w:val="167"/>
                  </w:pPr>
                  <w:r>
                    <w:t>柴油是轻质石油产品，复杂烃类（碳原子数约10~22）混合物，为柴油机燃料。主要由原油蒸馏、催化裂化、热裂化、加氢裂化、石油焦化等过程生产的柴油馏分调配而成，也可由页岩油加工和煤液化制取；分为轻柴油（沸点范围约180~370℃）和重柴油（沸点范围约350~410℃）两大类。广泛用于大型车辆、铁路机车、船舰。柴油最重要用途是用于车辆、船舶的柴油发动机。与汽油相比，柴油能量密度高，燃油消耗率低，但废气中含有害成分（NO，颗粒物等）较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jc w:val="center"/>
              </w:trPr>
              <w:tc>
                <w:tcPr>
                  <w:tcW w:w="1216" w:type="dxa"/>
                  <w:tcBorders>
                    <w:tl2br w:val="nil"/>
                    <w:tr2bl w:val="nil"/>
                  </w:tcBorders>
                  <w:vAlign w:val="center"/>
                </w:tcPr>
                <w:p>
                  <w:pPr>
                    <w:pStyle w:val="167"/>
                  </w:pPr>
                  <w:r>
                    <w:t>润滑油</w:t>
                  </w:r>
                </w:p>
              </w:tc>
              <w:tc>
                <w:tcPr>
                  <w:tcW w:w="7161" w:type="dxa"/>
                  <w:tcBorders>
                    <w:tl2br w:val="nil"/>
                    <w:tr2bl w:val="nil"/>
                  </w:tcBorders>
                  <w:vAlign w:val="center"/>
                </w:tcPr>
                <w:p>
                  <w:pPr>
                    <w:pStyle w:val="167"/>
                  </w:pPr>
                  <w:r>
                    <w:rPr>
                      <w:lang w:val="zh-CN"/>
                    </w:rPr>
                    <w:t>淡黄色黏稠液体。闪点120-340℃，自燃点300-350℃，相对密度0.93g/cm³（水=1），饱和蒸气压0.13kPa（145.8℃）。可溶于苯、乙醇、乙醚、氯仿、丙酮等多数有机溶剂。润滑油主要用于减少运动部件表面间的摩擦，同时对机器设备具有冷却、密封、防腐、防锈、绝缘、功率传送、清洗杂质等作用。</w:t>
                  </w:r>
                </w:p>
              </w:tc>
            </w:tr>
            <w:bookmarkEnd w:id="10"/>
          </w:tbl>
          <w:p>
            <w:pPr>
              <w:pStyle w:val="108"/>
              <w:ind w:firstLine="482"/>
              <w:rPr>
                <w:color w:val="auto"/>
              </w:rPr>
            </w:pPr>
            <w:r>
              <w:rPr>
                <w:color w:val="auto"/>
              </w:rPr>
              <w:t>2.1.4公用及配套工程</w:t>
            </w:r>
          </w:p>
          <w:p>
            <w:pPr>
              <w:pStyle w:val="139"/>
              <w:ind w:firstLine="480"/>
            </w:pPr>
            <w:r>
              <w:fldChar w:fldCharType="begin"/>
            </w:r>
            <w:r>
              <w:instrText xml:space="preserve"> = 1 \* GB3 </w:instrText>
            </w:r>
            <w:r>
              <w:fldChar w:fldCharType="separate"/>
            </w:r>
            <w:r>
              <w:rPr>
                <w:rFonts w:hint="eastAsia" w:ascii="宋体" w:hAnsi="宋体" w:cs="宋体"/>
              </w:rPr>
              <w:t>①</w:t>
            </w:r>
            <w:r>
              <w:fldChar w:fldCharType="end"/>
            </w:r>
            <w:r>
              <w:t>给排水系统</w:t>
            </w:r>
          </w:p>
          <w:p>
            <w:pPr>
              <w:pStyle w:val="139"/>
              <w:ind w:firstLine="480"/>
            </w:pPr>
            <w:r>
              <w:t>给水：项目运营期用水由周边山箐水供给。</w:t>
            </w:r>
          </w:p>
          <w:p>
            <w:pPr>
              <w:pStyle w:val="139"/>
              <w:ind w:firstLine="480"/>
            </w:pPr>
            <w:r>
              <w:t>排水：项目运营期排水采用“雨污分流”的排水方式</w:t>
            </w:r>
            <w:bookmarkStart w:id="29" w:name="_GoBack"/>
            <w:bookmarkEnd w:id="29"/>
            <w:r>
              <w:t>，不外排；项目沥青烟气处理过程中喷淋塔产生的循环废水，采用容积为2m³的废水储存罐收集后及时运送到沥青路面摊铺现场作为乳化沥青配浆用水使用，不直接外排。</w:t>
            </w:r>
          </w:p>
          <w:p>
            <w:pPr>
              <w:pStyle w:val="139"/>
              <w:ind w:firstLine="480"/>
            </w:pPr>
            <w:r>
              <w:fldChar w:fldCharType="begin"/>
            </w:r>
            <w:r>
              <w:instrText xml:space="preserve"> = 2 \* GB3 </w:instrText>
            </w:r>
            <w:r>
              <w:fldChar w:fldCharType="separate"/>
            </w:r>
            <w:r>
              <w:rPr>
                <w:rFonts w:hint="eastAsia" w:ascii="宋体" w:hAnsi="宋体" w:cs="宋体"/>
              </w:rPr>
              <w:t>②</w:t>
            </w:r>
            <w:r>
              <w:fldChar w:fldCharType="end"/>
            </w:r>
            <w:r>
              <w:t>供电系统</w:t>
            </w:r>
          </w:p>
          <w:p>
            <w:pPr>
              <w:pStyle w:val="139"/>
              <w:ind w:firstLine="480"/>
            </w:pPr>
            <w:r>
              <w:t>项目运营期用电有云龙县供电电网供给，目前已建成并投入使用。</w:t>
            </w:r>
          </w:p>
          <w:p>
            <w:pPr>
              <w:pStyle w:val="139"/>
              <w:ind w:firstLine="480"/>
            </w:pPr>
            <w:r>
              <w:fldChar w:fldCharType="begin"/>
            </w:r>
            <w:r>
              <w:instrText xml:space="preserve"> = 3 \* GB3 </w:instrText>
            </w:r>
            <w:r>
              <w:fldChar w:fldCharType="separate"/>
            </w:r>
            <w:r>
              <w:rPr>
                <w:rFonts w:hint="eastAsia" w:ascii="宋体" w:hAnsi="宋体" w:cs="宋体"/>
              </w:rPr>
              <w:t>③</w:t>
            </w:r>
            <w:r>
              <w:fldChar w:fldCharType="end"/>
            </w:r>
            <w:r>
              <w:t>供热系统</w:t>
            </w:r>
          </w:p>
          <w:p>
            <w:pPr>
              <w:pStyle w:val="139"/>
              <w:ind w:firstLine="480"/>
            </w:pPr>
            <w:r>
              <w:t>炒料加热供能方式采用油气两用燃烧机（柴油燃烧）供热，沥青加热供能方式采用电加热沥青储罐供热。</w:t>
            </w:r>
          </w:p>
          <w:p>
            <w:pPr>
              <w:pStyle w:val="139"/>
              <w:ind w:firstLine="480"/>
            </w:pPr>
            <w:r>
              <w:fldChar w:fldCharType="begin"/>
            </w:r>
            <w:r>
              <w:instrText xml:space="preserve"> = 4 \* GB3 </w:instrText>
            </w:r>
            <w:r>
              <w:fldChar w:fldCharType="separate"/>
            </w:r>
            <w:r>
              <w:rPr>
                <w:rFonts w:hint="eastAsia" w:ascii="宋体" w:hAnsi="宋体" w:cs="宋体"/>
              </w:rPr>
              <w:t>④</w:t>
            </w:r>
            <w:r>
              <w:fldChar w:fldCharType="end"/>
            </w:r>
            <w:r>
              <w:t>储存系统</w:t>
            </w:r>
          </w:p>
          <w:p>
            <w:pPr>
              <w:pStyle w:val="139"/>
              <w:ind w:firstLine="480"/>
            </w:pPr>
            <w:r>
              <w:t>项目设置有1台50t电加热沥青储存罐，其罐体总长11.5m，直径2.75m，用于沥青存储。设置10t柴油常压储存罐1只，罐体总长3.18m，直径2m用于柴油存储。储存系统能满足原辅料储存需求。</w:t>
            </w:r>
          </w:p>
          <w:p>
            <w:pPr>
              <w:pStyle w:val="108"/>
              <w:ind w:firstLine="482"/>
              <w:rPr>
                <w:color w:val="auto"/>
              </w:rPr>
            </w:pPr>
            <w:r>
              <w:rPr>
                <w:color w:val="auto"/>
              </w:rPr>
              <w:t>2.1.5施工进度</w:t>
            </w:r>
          </w:p>
          <w:p>
            <w:pPr>
              <w:pStyle w:val="139"/>
              <w:ind w:firstLine="480"/>
            </w:pPr>
            <w:r>
              <w:t>云龙公路局沥青拌合站新建项目于2016年5月建设完成并投产运行。现阶段主要对现有项目存在的环境问题进行整改建设。</w:t>
            </w:r>
          </w:p>
          <w:p>
            <w:pPr>
              <w:pStyle w:val="108"/>
              <w:rPr>
                <w:color w:val="auto"/>
              </w:rPr>
            </w:pPr>
            <w:r>
              <w:rPr>
                <w:color w:val="auto"/>
              </w:rPr>
              <w:t>2.1.6劳动定员及生产班制</w:t>
            </w:r>
          </w:p>
          <w:p>
            <w:pPr>
              <w:pStyle w:val="139"/>
              <w:ind w:firstLine="480"/>
            </w:pPr>
            <w:r>
              <w:t>项目年运行30天，主要集中在每年五月份和十月份，具体时间主要视道路维修养护需求而定，本项目阴雨天和夜间不进行生产工作。项目生产作业人员5人，生产作业人员由云龙公路分局调拨。项目区不设置食堂、宿舍等办公生活设施。</w:t>
            </w:r>
          </w:p>
          <w:p>
            <w:pPr>
              <w:pStyle w:val="108"/>
              <w:ind w:firstLine="482"/>
              <w:rPr>
                <w:color w:val="auto"/>
              </w:rPr>
            </w:pPr>
            <w:r>
              <w:rPr>
                <w:color w:val="auto"/>
              </w:rPr>
              <w:t>2.1.7、水平衡</w:t>
            </w:r>
          </w:p>
          <w:p>
            <w:pPr>
              <w:pStyle w:val="139"/>
              <w:ind w:firstLine="480"/>
              <w:rPr>
                <w:b/>
              </w:rPr>
            </w:pPr>
            <w:r>
              <w:t>本项目运营期废水为喷淋塔循环废水、生活污水（办公废水）和初期雨水。</w:t>
            </w:r>
          </w:p>
          <w:p>
            <w:pPr>
              <w:pStyle w:val="111"/>
            </w:pPr>
            <w:r>
              <w:t>（1）产排污参数计算</w:t>
            </w:r>
          </w:p>
          <w:p>
            <w:pPr>
              <w:pStyle w:val="111"/>
            </w:pPr>
            <w:r>
              <w:t>1）生产用排水</w:t>
            </w:r>
          </w:p>
          <w:p>
            <w:pPr>
              <w:pStyle w:val="139"/>
              <w:ind w:firstLine="480"/>
            </w:pPr>
            <w:r>
              <w:t>本项目生产过程用水主要喷淋塔用水和洒水降尘用水，具体用水量及污水产生量核算如下：</w:t>
            </w:r>
          </w:p>
          <w:p>
            <w:pPr>
              <w:pStyle w:val="139"/>
              <w:ind w:firstLine="480"/>
            </w:pPr>
            <w:r>
              <w:fldChar w:fldCharType="begin"/>
            </w:r>
            <w:r>
              <w:instrText xml:space="preserve"> = 1 \* GB3 </w:instrText>
            </w:r>
            <w:r>
              <w:fldChar w:fldCharType="separate"/>
            </w:r>
            <w:r>
              <w:rPr>
                <w:rFonts w:hint="eastAsia" w:ascii="宋体" w:hAnsi="宋体" w:cs="宋体"/>
              </w:rPr>
              <w:t>①</w:t>
            </w:r>
            <w:r>
              <w:fldChar w:fldCharType="end"/>
            </w:r>
            <w:r>
              <w:t>喷淋塔用水</w:t>
            </w:r>
          </w:p>
          <w:p>
            <w:pPr>
              <w:pStyle w:val="139"/>
              <w:ind w:firstLine="480"/>
            </w:pPr>
            <w:r>
              <w:t>营运期沥青储存罐、搅拌缸出料口产生的沥青烟气经收集后排入喷淋塔内，采用喷洒循环水（直接冷却）方式对高温烟气进行冷凝。这种方法不但可以对烟气进行降温，而且可将收集的烟气中沥青冷凝成液体，形成沥青乳化液。拟建喷淋塔水箱有效容积约2m</w:t>
            </w:r>
            <w:r>
              <w:rPr>
                <w:vertAlign w:val="superscript"/>
              </w:rPr>
              <w:t>3</w:t>
            </w:r>
            <w:r>
              <w:t>，喷淋水循环使用，消耗量按循环水量的2%/h计，则每小时需补充水量约0.04m</w:t>
            </w:r>
            <w:r>
              <w:rPr>
                <w:vertAlign w:val="superscript"/>
              </w:rPr>
              <w:t>3</w:t>
            </w:r>
            <w:r>
              <w:t>；喷淋水每15天更换一次。本项目年运营时间为30天，经计算，需更换循环水约4m</w:t>
            </w:r>
            <w:r>
              <w:rPr>
                <w:vertAlign w:val="superscript"/>
              </w:rPr>
              <w:t>3</w:t>
            </w:r>
            <w:r>
              <w:t>/a，补充水量约4.8m</w:t>
            </w:r>
            <w:r>
              <w:rPr>
                <w:vertAlign w:val="superscript"/>
              </w:rPr>
              <w:t>3</w:t>
            </w:r>
            <w:r>
              <w:t>/a、0.16m</w:t>
            </w:r>
            <w:r>
              <w:rPr>
                <w:vertAlign w:val="superscript"/>
              </w:rPr>
              <w:t>3</w:t>
            </w:r>
            <w:r>
              <w:t>/d。喷淋塔循环废水（2m</w:t>
            </w:r>
            <w:r>
              <w:rPr>
                <w:vertAlign w:val="superscript"/>
              </w:rPr>
              <w:t>3</w:t>
            </w:r>
            <w:r>
              <w:t>/次，4m</w:t>
            </w:r>
            <w:r>
              <w:rPr>
                <w:vertAlign w:val="superscript"/>
              </w:rPr>
              <w:t>3</w:t>
            </w:r>
            <w:r>
              <w:t>/a）采用废水储存罐收集后及时运送到沥青路面摊铺现场作为乳化沥青配浆用水使用，不直接外排。</w:t>
            </w:r>
          </w:p>
          <w:p>
            <w:pPr>
              <w:pStyle w:val="139"/>
              <w:ind w:firstLine="480"/>
            </w:pPr>
            <w:r>
              <w:fldChar w:fldCharType="begin"/>
            </w:r>
            <w:r>
              <w:instrText xml:space="preserve"> = 2 \* GB3 </w:instrText>
            </w:r>
            <w:r>
              <w:fldChar w:fldCharType="separate"/>
            </w:r>
            <w:r>
              <w:rPr>
                <w:rFonts w:hint="eastAsia" w:ascii="宋体" w:hAnsi="宋体" w:cs="宋体"/>
              </w:rPr>
              <w:t>②</w:t>
            </w:r>
            <w:r>
              <w:fldChar w:fldCharType="end"/>
            </w:r>
            <w:r>
              <w:t>洒水降尘用水</w:t>
            </w:r>
          </w:p>
          <w:p>
            <w:pPr>
              <w:pStyle w:val="139"/>
              <w:ind w:firstLine="480"/>
            </w:pPr>
            <w:r>
              <w:t>为减少晴天因为风力产生扬尘，本环评提出项目运行期间，晴天需对项目区场地道路进行洒水降尘至少1次，洒水降尘用水量按2L/m</w:t>
            </w:r>
            <w:r>
              <w:rPr>
                <w:vertAlign w:val="superscript"/>
              </w:rPr>
              <w:t>2</w:t>
            </w:r>
            <w:r>
              <w:t>·次，根据平面布置图计算，需要洒水降尘的地面总面积约为1156m</w:t>
            </w:r>
            <w:r>
              <w:rPr>
                <w:vertAlign w:val="superscript"/>
              </w:rPr>
              <w:t>2</w:t>
            </w:r>
            <w:r>
              <w:t>，则项目非雨天洒水降尘用水量为2.312m</w:t>
            </w:r>
            <w:r>
              <w:rPr>
                <w:vertAlign w:val="superscript"/>
              </w:rPr>
              <w:t>3</w:t>
            </w:r>
            <w:r>
              <w:t>/次。项目年运行30天，晴天按25d计，则项目洒水降尘用水量约57.8m</w:t>
            </w:r>
            <w:r>
              <w:rPr>
                <w:vertAlign w:val="superscript"/>
              </w:rPr>
              <w:t>3</w:t>
            </w:r>
            <w:r>
              <w:t>/a，1.927m</w:t>
            </w:r>
            <w:r>
              <w:rPr>
                <w:vertAlign w:val="superscript"/>
              </w:rPr>
              <w:t>3</w:t>
            </w:r>
            <w:r>
              <w:t>/d。洒水降尘用水难以形成地表径流，以蒸发方式损耗，无废水产生。</w:t>
            </w:r>
          </w:p>
          <w:p>
            <w:pPr>
              <w:pStyle w:val="139"/>
              <w:ind w:firstLine="480"/>
            </w:pPr>
            <w:r>
              <w:fldChar w:fldCharType="begin"/>
            </w:r>
            <w:r>
              <w:instrText xml:space="preserve"> = 3 \* GB3 </w:instrText>
            </w:r>
            <w:r>
              <w:fldChar w:fldCharType="separate"/>
            </w:r>
            <w:r>
              <w:rPr>
                <w:rFonts w:hint="eastAsia" w:ascii="宋体" w:hAnsi="宋体" w:cs="宋体"/>
              </w:rPr>
              <w:t>③</w:t>
            </w:r>
            <w:r>
              <w:fldChar w:fldCharType="end"/>
            </w:r>
            <w:r>
              <w:t>皮带给料器（料斗）喷淋用水</w:t>
            </w:r>
          </w:p>
          <w:p>
            <w:pPr>
              <w:pStyle w:val="139"/>
              <w:ind w:firstLine="480"/>
            </w:pPr>
            <w:r>
              <w:t>项目营运期于皮带给料器（料斗）设置喷淋装置进行洒水降尘，皮带给料器（料斗）喷淋用水量按0.005m³/t骨料计，本项目营运期年使用骨料和粉料1514t，喷淋用水量约7.57m³/a，0.252m³/d。喷淋用水均被蒸发损耗，无废水产生。</w:t>
            </w:r>
          </w:p>
          <w:p>
            <w:pPr>
              <w:pStyle w:val="111"/>
            </w:pPr>
            <w:r>
              <w:t>2）生活用排水</w:t>
            </w:r>
          </w:p>
          <w:p>
            <w:pPr>
              <w:pStyle w:val="139"/>
              <w:ind w:firstLine="480"/>
            </w:pPr>
            <w:r>
              <w:t>运营期工作人员5人，年工作30天，项目区不设食宿，不设置办公生活设施，员工洗手、如厕依托</w:t>
            </w:r>
            <w:r>
              <w:rPr>
                <w:rStyle w:val="140"/>
              </w:rPr>
              <w:t>云龙公路分局河南石料场公路养护配套改扩建项目</w:t>
            </w:r>
            <w:r>
              <w:t>洗手台、旱厕等设施，用水主要为办公用水。参照《云南省地方标准 用水定额》中的国家行政机构用水量取值（30L/人·天），办公生活区用水量为0.15m³/d、4.5m³/a，产污系数按0.9计，则生活污水量为0.135m³/d、4.05m³/a，生活污水</w:t>
            </w:r>
            <w:r>
              <w:rPr>
                <w:szCs w:val="21"/>
              </w:rPr>
              <w:t>依托云龙公路分局河南石料场公路养护配套改扩建项目现有旱厕处理后，委托附近村民定期清掏施肥，不外排</w:t>
            </w:r>
            <w:r>
              <w:t>。</w:t>
            </w:r>
          </w:p>
          <w:p>
            <w:pPr>
              <w:pStyle w:val="111"/>
            </w:pPr>
            <w:r>
              <w:t>3）初期雨水</w:t>
            </w:r>
          </w:p>
          <w:p>
            <w:pPr>
              <w:pStyle w:val="139"/>
              <w:ind w:firstLine="480"/>
            </w:pPr>
            <w:r>
              <w:t>一般采用项目所在地历年日最大暴雨的前15min雨量为初期雨水量，这部分初期雨水因冲刷场区地面，会含有大量泥沙和悬浮物，直接外排会污染周边地表水环境。</w:t>
            </w:r>
          </w:p>
          <w:p>
            <w:pPr>
              <w:pStyle w:val="139"/>
              <w:ind w:firstLine="480"/>
            </w:pPr>
            <w:r>
              <w:t>本环评提出初期雨水经雨水沟收集后进入初期雨水收集池沉淀处理后回用于项目区洒水降尘，汇水面积约2565㎡（项目地块内雨水），本次评价初期雨水量按以下公式进行计算：</w:t>
            </w:r>
          </w:p>
          <w:p>
            <w:pPr>
              <w:pStyle w:val="147"/>
            </w:pPr>
            <w:r>
              <w:t>Q=q*F*ψ</w:t>
            </w:r>
          </w:p>
          <w:p>
            <w:pPr>
              <w:pStyle w:val="139"/>
              <w:ind w:firstLine="480"/>
            </w:pPr>
            <w:r>
              <w:t>式中：Q—雨水流量，单位为L/s；</w:t>
            </w:r>
          </w:p>
          <w:p>
            <w:pPr>
              <w:pStyle w:val="139"/>
              <w:ind w:firstLine="480"/>
            </w:pPr>
            <w:r>
              <w:t>q—设计暴雨强度，单位为L/s.h㎡；</w:t>
            </w:r>
          </w:p>
          <w:p>
            <w:pPr>
              <w:pStyle w:val="139"/>
              <w:ind w:firstLine="480"/>
            </w:pPr>
            <w:r>
              <w:t>F—汇水面积，单位为h㎡；</w:t>
            </w:r>
          </w:p>
          <w:p>
            <w:pPr>
              <w:pStyle w:val="139"/>
              <w:ind w:firstLine="480"/>
            </w:pPr>
            <w:r>
              <w:t>ψ—径流系数，项目区为沥青碎石地面，取0.6；</w:t>
            </w:r>
          </w:p>
          <w:p>
            <w:pPr>
              <w:snapToGrid w:val="0"/>
              <w:spacing w:line="360" w:lineRule="auto"/>
              <w:ind w:firstLine="480"/>
              <w:rPr>
                <w:snapToGrid w:val="0"/>
                <w:kern w:val="0"/>
                <w:sz w:val="24"/>
              </w:rPr>
            </w:pPr>
            <w:r>
              <w:rPr>
                <w:snapToGrid w:val="0"/>
                <w:kern w:val="0"/>
                <w:sz w:val="24"/>
              </w:rPr>
              <w:t>降雨强度采用下关暴雨强度公式计算：</w:t>
            </w:r>
          </w:p>
          <w:p>
            <w:pPr>
              <w:snapToGrid w:val="0"/>
              <w:spacing w:line="360" w:lineRule="auto"/>
              <w:ind w:firstLine="480"/>
              <w:jc w:val="center"/>
              <w:rPr>
                <w:snapToGrid w:val="0"/>
                <w:kern w:val="0"/>
                <w:sz w:val="24"/>
                <w:vertAlign w:val="superscript"/>
              </w:rPr>
            </w:pPr>
            <w:r>
              <w:rPr>
                <w:snapToGrid w:val="0"/>
                <w:kern w:val="0"/>
                <w:sz w:val="24"/>
              </w:rPr>
              <w:t>q=1534（1+1.035lgP）/（t+9.86）</w:t>
            </w:r>
            <w:r>
              <w:rPr>
                <w:snapToGrid w:val="0"/>
                <w:kern w:val="0"/>
                <w:sz w:val="24"/>
                <w:vertAlign w:val="superscript"/>
              </w:rPr>
              <w:t>0.762</w:t>
            </w:r>
          </w:p>
          <w:p>
            <w:pPr>
              <w:snapToGrid w:val="0"/>
              <w:spacing w:line="360" w:lineRule="auto"/>
              <w:ind w:firstLine="480"/>
              <w:rPr>
                <w:snapToGrid w:val="0"/>
                <w:kern w:val="0"/>
                <w:sz w:val="24"/>
              </w:rPr>
            </w:pPr>
            <w:r>
              <w:rPr>
                <w:snapToGrid w:val="0"/>
                <w:kern w:val="0"/>
                <w:sz w:val="24"/>
              </w:rPr>
              <w:t>式中：P——设计降雨重现期，2a；</w:t>
            </w:r>
          </w:p>
          <w:p>
            <w:pPr>
              <w:snapToGrid w:val="0"/>
              <w:spacing w:line="360" w:lineRule="auto"/>
              <w:ind w:firstLine="480"/>
              <w:rPr>
                <w:snapToGrid w:val="0"/>
                <w:kern w:val="0"/>
                <w:sz w:val="24"/>
              </w:rPr>
            </w:pPr>
            <w:r>
              <w:rPr>
                <w:snapToGrid w:val="0"/>
                <w:kern w:val="0"/>
                <w:sz w:val="24"/>
              </w:rPr>
              <w:t>t——降雨历时（取180min）。</w:t>
            </w:r>
          </w:p>
          <w:p>
            <w:pPr>
              <w:pStyle w:val="139"/>
              <w:ind w:firstLine="480"/>
            </w:pPr>
            <w:r>
              <w:t>根据上述公式计算，</w:t>
            </w:r>
            <w:r>
              <w:rPr>
                <w:snapToGrid w:val="0"/>
                <w:kern w:val="0"/>
              </w:rPr>
              <w:t>暴雨强度为173.88</w:t>
            </w:r>
            <w:r>
              <w:t>L/s.h㎡，项目区雨天初期雨水最大量约24m³/次。本项目年生产30d，降雨次数按照2次计，则项目初期雨水产生量为48m³/a，项目于东南侧低洼处设置一个容积为30m³的初期雨水收集池，可有效容纳本项目初期雨水。</w:t>
            </w:r>
          </w:p>
          <w:p>
            <w:pPr>
              <w:pStyle w:val="111"/>
            </w:pPr>
            <w:r>
              <w:t>（2）项目用排水情况汇总统计</w:t>
            </w:r>
          </w:p>
          <w:p>
            <w:pPr>
              <w:pStyle w:val="139"/>
              <w:ind w:firstLine="480"/>
            </w:pPr>
            <w:r>
              <w:t>项目排水采用“雨污分流”的排水方式，初期雨水经雨水沟收集后进入初期雨水收集池沉淀处理后回用于项目区洒水降尘；项目运营期喷淋塔产生的循环废水采用废水储存罐收集后及时运送到沥青路面摊铺现场作为乳化沥青配浆用水使用，不直接外排。</w:t>
            </w:r>
          </w:p>
          <w:p>
            <w:pPr>
              <w:pStyle w:val="139"/>
              <w:ind w:firstLine="480"/>
            </w:pPr>
            <w:r>
              <w:t>综上，项目用水量、污水排放量详见下表。</w:t>
            </w:r>
          </w:p>
          <w:p>
            <w:pPr>
              <w:pStyle w:val="168"/>
            </w:pPr>
            <w:r>
              <w:t>表2-7   项目用排水情况一览表</w:t>
            </w:r>
          </w:p>
          <w:tbl>
            <w:tblPr>
              <w:tblStyle w:val="28"/>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36"/>
              <w:gridCol w:w="1142"/>
              <w:gridCol w:w="637"/>
              <w:gridCol w:w="1018"/>
              <w:gridCol w:w="899"/>
              <w:gridCol w:w="680"/>
              <w:gridCol w:w="804"/>
              <w:gridCol w:w="703"/>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0" w:hRule="atLeast"/>
                <w:tblHeader/>
                <w:jc w:val="center"/>
              </w:trPr>
              <w:tc>
                <w:tcPr>
                  <w:tcW w:w="1065" w:type="dxa"/>
                  <w:gridSpan w:val="2"/>
                  <w:vMerge w:val="restart"/>
                  <w:vAlign w:val="center"/>
                </w:tcPr>
                <w:p>
                  <w:pPr>
                    <w:pStyle w:val="167"/>
                    <w:rPr>
                      <w:snapToGrid w:val="0"/>
                    </w:rPr>
                  </w:pPr>
                  <w:r>
                    <w:rPr>
                      <w:snapToGrid w:val="0"/>
                    </w:rPr>
                    <w:t>项目</w:t>
                  </w:r>
                </w:p>
              </w:tc>
              <w:tc>
                <w:tcPr>
                  <w:tcW w:w="1142" w:type="dxa"/>
                  <w:vMerge w:val="restart"/>
                  <w:vAlign w:val="center"/>
                </w:tcPr>
                <w:p>
                  <w:pPr>
                    <w:pStyle w:val="167"/>
                    <w:rPr>
                      <w:snapToGrid w:val="0"/>
                    </w:rPr>
                  </w:pPr>
                  <w:r>
                    <w:rPr>
                      <w:snapToGrid w:val="0"/>
                    </w:rPr>
                    <w:t>用水定额</w:t>
                  </w:r>
                </w:p>
              </w:tc>
              <w:tc>
                <w:tcPr>
                  <w:tcW w:w="637" w:type="dxa"/>
                  <w:vMerge w:val="restart"/>
                  <w:vAlign w:val="center"/>
                </w:tcPr>
                <w:p>
                  <w:pPr>
                    <w:pStyle w:val="167"/>
                    <w:rPr>
                      <w:snapToGrid w:val="0"/>
                    </w:rPr>
                  </w:pPr>
                  <w:r>
                    <w:rPr>
                      <w:snapToGrid w:val="0"/>
                    </w:rPr>
                    <w:t>数量</w:t>
                  </w:r>
                </w:p>
              </w:tc>
              <w:tc>
                <w:tcPr>
                  <w:tcW w:w="1917" w:type="dxa"/>
                  <w:gridSpan w:val="2"/>
                  <w:vAlign w:val="center"/>
                </w:tcPr>
                <w:p>
                  <w:pPr>
                    <w:pStyle w:val="167"/>
                    <w:rPr>
                      <w:snapToGrid w:val="0"/>
                    </w:rPr>
                  </w:pPr>
                  <w:r>
                    <w:rPr>
                      <w:snapToGrid w:val="0"/>
                    </w:rPr>
                    <w:t>用水量</w:t>
                  </w:r>
                </w:p>
              </w:tc>
              <w:tc>
                <w:tcPr>
                  <w:tcW w:w="680" w:type="dxa"/>
                  <w:vMerge w:val="restart"/>
                  <w:vAlign w:val="center"/>
                </w:tcPr>
                <w:p>
                  <w:pPr>
                    <w:pStyle w:val="167"/>
                    <w:rPr>
                      <w:snapToGrid w:val="0"/>
                    </w:rPr>
                  </w:pPr>
                  <w:r>
                    <w:rPr>
                      <w:snapToGrid w:val="0"/>
                    </w:rPr>
                    <w:t>产污率</w:t>
                  </w:r>
                </w:p>
              </w:tc>
              <w:tc>
                <w:tcPr>
                  <w:tcW w:w="1507" w:type="dxa"/>
                  <w:gridSpan w:val="2"/>
                  <w:vAlign w:val="center"/>
                </w:tcPr>
                <w:p>
                  <w:pPr>
                    <w:pStyle w:val="167"/>
                    <w:rPr>
                      <w:snapToGrid w:val="0"/>
                    </w:rPr>
                  </w:pPr>
                  <w:r>
                    <w:rPr>
                      <w:snapToGrid w:val="0"/>
                    </w:rPr>
                    <w:t>污水量</w:t>
                  </w:r>
                </w:p>
              </w:tc>
              <w:tc>
                <w:tcPr>
                  <w:tcW w:w="1432" w:type="dxa"/>
                  <w:vMerge w:val="restart"/>
                  <w:vAlign w:val="center"/>
                </w:tcPr>
                <w:p>
                  <w:pPr>
                    <w:pStyle w:val="167"/>
                    <w:rPr>
                      <w:snapToGrid w:val="0"/>
                    </w:rPr>
                  </w:pPr>
                  <w:r>
                    <w:rPr>
                      <w:snapToGrid w:val="0"/>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1065" w:type="dxa"/>
                  <w:gridSpan w:val="2"/>
                  <w:vMerge w:val="continue"/>
                  <w:vAlign w:val="center"/>
                </w:tcPr>
                <w:p>
                  <w:pPr>
                    <w:pStyle w:val="167"/>
                    <w:rPr>
                      <w:snapToGrid w:val="0"/>
                    </w:rPr>
                  </w:pPr>
                </w:p>
              </w:tc>
              <w:tc>
                <w:tcPr>
                  <w:tcW w:w="1142" w:type="dxa"/>
                  <w:vMerge w:val="continue"/>
                  <w:vAlign w:val="center"/>
                </w:tcPr>
                <w:p>
                  <w:pPr>
                    <w:pStyle w:val="167"/>
                    <w:rPr>
                      <w:snapToGrid w:val="0"/>
                    </w:rPr>
                  </w:pPr>
                </w:p>
              </w:tc>
              <w:tc>
                <w:tcPr>
                  <w:tcW w:w="637" w:type="dxa"/>
                  <w:vMerge w:val="continue"/>
                  <w:vAlign w:val="center"/>
                </w:tcPr>
                <w:p>
                  <w:pPr>
                    <w:pStyle w:val="167"/>
                    <w:rPr>
                      <w:snapToGrid w:val="0"/>
                    </w:rPr>
                  </w:pPr>
                </w:p>
              </w:tc>
              <w:tc>
                <w:tcPr>
                  <w:tcW w:w="1018" w:type="dxa"/>
                  <w:vAlign w:val="center"/>
                </w:tcPr>
                <w:p>
                  <w:pPr>
                    <w:pStyle w:val="167"/>
                    <w:rPr>
                      <w:snapToGrid w:val="0"/>
                    </w:rPr>
                  </w:pPr>
                  <w:r>
                    <w:rPr>
                      <w:snapToGrid w:val="0"/>
                    </w:rPr>
                    <w:t>m³/d</w:t>
                  </w:r>
                </w:p>
              </w:tc>
              <w:tc>
                <w:tcPr>
                  <w:tcW w:w="899" w:type="dxa"/>
                  <w:vAlign w:val="center"/>
                </w:tcPr>
                <w:p>
                  <w:pPr>
                    <w:pStyle w:val="167"/>
                    <w:rPr>
                      <w:snapToGrid w:val="0"/>
                    </w:rPr>
                  </w:pPr>
                  <w:r>
                    <w:rPr>
                      <w:snapToGrid w:val="0"/>
                    </w:rPr>
                    <w:t>m³/a</w:t>
                  </w:r>
                </w:p>
              </w:tc>
              <w:tc>
                <w:tcPr>
                  <w:tcW w:w="680" w:type="dxa"/>
                  <w:vMerge w:val="continue"/>
                  <w:vAlign w:val="center"/>
                </w:tcPr>
                <w:p>
                  <w:pPr>
                    <w:pStyle w:val="167"/>
                    <w:rPr>
                      <w:snapToGrid w:val="0"/>
                    </w:rPr>
                  </w:pPr>
                </w:p>
              </w:tc>
              <w:tc>
                <w:tcPr>
                  <w:tcW w:w="804" w:type="dxa"/>
                  <w:vAlign w:val="center"/>
                </w:tcPr>
                <w:p>
                  <w:pPr>
                    <w:pStyle w:val="167"/>
                    <w:rPr>
                      <w:snapToGrid w:val="0"/>
                    </w:rPr>
                  </w:pPr>
                  <w:r>
                    <w:rPr>
                      <w:snapToGrid w:val="0"/>
                    </w:rPr>
                    <w:t>m³/d</w:t>
                  </w:r>
                </w:p>
              </w:tc>
              <w:tc>
                <w:tcPr>
                  <w:tcW w:w="703" w:type="dxa"/>
                  <w:vAlign w:val="center"/>
                </w:tcPr>
                <w:p>
                  <w:pPr>
                    <w:pStyle w:val="167"/>
                    <w:rPr>
                      <w:snapToGrid w:val="0"/>
                    </w:rPr>
                  </w:pPr>
                  <w:r>
                    <w:rPr>
                      <w:snapToGrid w:val="0"/>
                    </w:rPr>
                    <w:t>m³/a</w:t>
                  </w:r>
                </w:p>
              </w:tc>
              <w:tc>
                <w:tcPr>
                  <w:tcW w:w="1432" w:type="dxa"/>
                  <w:vMerge w:val="continue"/>
                  <w:vAlign w:val="center"/>
                </w:tcPr>
                <w:p>
                  <w:pPr>
                    <w:pStyle w:val="167"/>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429" w:type="dxa"/>
                  <w:vMerge w:val="restart"/>
                  <w:vAlign w:val="center"/>
                </w:tcPr>
                <w:p>
                  <w:pPr>
                    <w:pStyle w:val="167"/>
                    <w:rPr>
                      <w:snapToGrid w:val="0"/>
                    </w:rPr>
                  </w:pPr>
                  <w:r>
                    <w:rPr>
                      <w:snapToGrid w:val="0"/>
                    </w:rPr>
                    <w:t>生产用水</w:t>
                  </w:r>
                </w:p>
              </w:tc>
              <w:tc>
                <w:tcPr>
                  <w:tcW w:w="636" w:type="dxa"/>
                  <w:vAlign w:val="center"/>
                </w:tcPr>
                <w:p>
                  <w:pPr>
                    <w:pStyle w:val="167"/>
                    <w:rPr>
                      <w:snapToGrid w:val="0"/>
                    </w:rPr>
                  </w:pPr>
                  <w:r>
                    <w:rPr>
                      <w:snapToGrid w:val="0"/>
                    </w:rPr>
                    <w:t>喷淋塔用水</w:t>
                  </w:r>
                </w:p>
              </w:tc>
              <w:tc>
                <w:tcPr>
                  <w:tcW w:w="1142" w:type="dxa"/>
                  <w:vAlign w:val="center"/>
                </w:tcPr>
                <w:p>
                  <w:pPr>
                    <w:pStyle w:val="167"/>
                    <w:rPr>
                      <w:snapToGrid w:val="0"/>
                    </w:rPr>
                  </w:pPr>
                  <w:r>
                    <w:t>/</w:t>
                  </w:r>
                </w:p>
              </w:tc>
              <w:tc>
                <w:tcPr>
                  <w:tcW w:w="637" w:type="dxa"/>
                  <w:vAlign w:val="center"/>
                </w:tcPr>
                <w:p>
                  <w:pPr>
                    <w:pStyle w:val="167"/>
                    <w:rPr>
                      <w:snapToGrid w:val="0"/>
                    </w:rPr>
                  </w:pPr>
                  <w:r>
                    <w:rPr>
                      <w:snapToGrid w:val="0"/>
                    </w:rPr>
                    <w:t>1台</w:t>
                  </w:r>
                </w:p>
              </w:tc>
              <w:tc>
                <w:tcPr>
                  <w:tcW w:w="1018" w:type="dxa"/>
                  <w:vAlign w:val="center"/>
                </w:tcPr>
                <w:p>
                  <w:pPr>
                    <w:pStyle w:val="167"/>
                    <w:rPr>
                      <w:snapToGrid w:val="0"/>
                    </w:rPr>
                  </w:pPr>
                  <w:r>
                    <w:rPr>
                      <w:snapToGrid w:val="0"/>
                    </w:rPr>
                    <w:t>0.2</w:t>
                  </w:r>
                </w:p>
                <w:p>
                  <w:pPr>
                    <w:pStyle w:val="167"/>
                    <w:rPr>
                      <w:snapToGrid w:val="0"/>
                    </w:rPr>
                  </w:pPr>
                  <w:r>
                    <w:rPr>
                      <w:snapToGrid w:val="0"/>
                    </w:rPr>
                    <w:t>（0.16）</w:t>
                  </w:r>
                </w:p>
              </w:tc>
              <w:tc>
                <w:tcPr>
                  <w:tcW w:w="899" w:type="dxa"/>
                  <w:vAlign w:val="center"/>
                </w:tcPr>
                <w:p>
                  <w:pPr>
                    <w:pStyle w:val="167"/>
                    <w:rPr>
                      <w:snapToGrid w:val="0"/>
                    </w:rPr>
                  </w:pPr>
                  <w:r>
                    <w:rPr>
                      <w:snapToGrid w:val="0"/>
                    </w:rPr>
                    <w:t>4</w:t>
                  </w:r>
                </w:p>
                <w:p>
                  <w:pPr>
                    <w:pStyle w:val="167"/>
                    <w:rPr>
                      <w:snapToGrid w:val="0"/>
                    </w:rPr>
                  </w:pPr>
                  <w:r>
                    <w:rPr>
                      <w:snapToGrid w:val="0"/>
                    </w:rPr>
                    <w:t>（4.8）</w:t>
                  </w:r>
                </w:p>
              </w:tc>
              <w:tc>
                <w:tcPr>
                  <w:tcW w:w="680" w:type="dxa"/>
                  <w:vAlign w:val="center"/>
                </w:tcPr>
                <w:p>
                  <w:pPr>
                    <w:pStyle w:val="167"/>
                    <w:rPr>
                      <w:snapToGrid w:val="0"/>
                    </w:rPr>
                  </w:pPr>
                  <w:r>
                    <w:rPr>
                      <w:snapToGrid w:val="0"/>
                    </w:rPr>
                    <w:t>0.57</w:t>
                  </w:r>
                </w:p>
              </w:tc>
              <w:tc>
                <w:tcPr>
                  <w:tcW w:w="804" w:type="dxa"/>
                  <w:vAlign w:val="center"/>
                </w:tcPr>
                <w:p>
                  <w:pPr>
                    <w:pStyle w:val="167"/>
                    <w:rPr>
                      <w:snapToGrid w:val="0"/>
                    </w:rPr>
                  </w:pPr>
                  <w:r>
                    <w:rPr>
                      <w:snapToGrid w:val="0"/>
                    </w:rPr>
                    <w:t>0.133</w:t>
                  </w:r>
                </w:p>
              </w:tc>
              <w:tc>
                <w:tcPr>
                  <w:tcW w:w="703" w:type="dxa"/>
                  <w:vAlign w:val="center"/>
                </w:tcPr>
                <w:p>
                  <w:pPr>
                    <w:pStyle w:val="167"/>
                    <w:rPr>
                      <w:snapToGrid w:val="0"/>
                    </w:rPr>
                  </w:pPr>
                  <w:r>
                    <w:rPr>
                      <w:snapToGrid w:val="0"/>
                    </w:rPr>
                    <w:t>4</w:t>
                  </w:r>
                </w:p>
              </w:tc>
              <w:tc>
                <w:tcPr>
                  <w:tcW w:w="1432" w:type="dxa"/>
                  <w:vAlign w:val="center"/>
                </w:tcPr>
                <w:p>
                  <w:pPr>
                    <w:pStyle w:val="167"/>
                    <w:rPr>
                      <w:snapToGrid w:val="0"/>
                    </w:rPr>
                  </w:pPr>
                  <w:r>
                    <w:t>收集后及作为乳化沥青配浆用水使用，不直接外排。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429" w:type="dxa"/>
                  <w:vMerge w:val="continue"/>
                  <w:vAlign w:val="center"/>
                </w:tcPr>
                <w:p>
                  <w:pPr>
                    <w:pStyle w:val="167"/>
                    <w:rPr>
                      <w:snapToGrid w:val="0"/>
                    </w:rPr>
                  </w:pPr>
                </w:p>
              </w:tc>
              <w:tc>
                <w:tcPr>
                  <w:tcW w:w="636" w:type="dxa"/>
                  <w:vAlign w:val="center"/>
                </w:tcPr>
                <w:p>
                  <w:pPr>
                    <w:pStyle w:val="167"/>
                    <w:rPr>
                      <w:snapToGrid w:val="0"/>
                    </w:rPr>
                  </w:pPr>
                  <w:r>
                    <w:rPr>
                      <w:snapToGrid w:val="0"/>
                    </w:rPr>
                    <w:t>洒水降尘用水</w:t>
                  </w:r>
                </w:p>
              </w:tc>
              <w:tc>
                <w:tcPr>
                  <w:tcW w:w="1142" w:type="dxa"/>
                  <w:vAlign w:val="center"/>
                </w:tcPr>
                <w:p>
                  <w:pPr>
                    <w:pStyle w:val="167"/>
                    <w:rPr>
                      <w:snapToGrid w:val="0"/>
                    </w:rPr>
                  </w:pPr>
                  <w:r>
                    <w:t>2L/m</w:t>
                  </w:r>
                  <w:r>
                    <w:rPr>
                      <w:vertAlign w:val="superscript"/>
                    </w:rPr>
                    <w:t>2</w:t>
                  </w:r>
                  <w:r>
                    <w:t>·次</w:t>
                  </w:r>
                </w:p>
              </w:tc>
              <w:tc>
                <w:tcPr>
                  <w:tcW w:w="637" w:type="dxa"/>
                  <w:vAlign w:val="center"/>
                </w:tcPr>
                <w:p>
                  <w:pPr>
                    <w:pStyle w:val="167"/>
                    <w:rPr>
                      <w:snapToGrid w:val="0"/>
                    </w:rPr>
                  </w:pPr>
                  <w:r>
                    <w:rPr>
                      <w:snapToGrid w:val="0"/>
                    </w:rPr>
                    <w:t>1156㎡</w:t>
                  </w:r>
                </w:p>
              </w:tc>
              <w:tc>
                <w:tcPr>
                  <w:tcW w:w="1018" w:type="dxa"/>
                  <w:vAlign w:val="center"/>
                </w:tcPr>
                <w:p>
                  <w:pPr>
                    <w:pStyle w:val="167"/>
                    <w:rPr>
                      <w:snapToGrid w:val="0"/>
                    </w:rPr>
                  </w:pPr>
                  <w:r>
                    <w:rPr>
                      <w:snapToGrid w:val="0"/>
                    </w:rPr>
                    <w:t>1.927，其中1.6为初期雨水，0.327为新鲜水</w:t>
                  </w:r>
                </w:p>
              </w:tc>
              <w:tc>
                <w:tcPr>
                  <w:tcW w:w="899" w:type="dxa"/>
                  <w:vAlign w:val="center"/>
                </w:tcPr>
                <w:p>
                  <w:pPr>
                    <w:pStyle w:val="167"/>
                    <w:rPr>
                      <w:snapToGrid w:val="0"/>
                    </w:rPr>
                  </w:pPr>
                  <w:r>
                    <w:rPr>
                      <w:snapToGrid w:val="0"/>
                    </w:rPr>
                    <w:t>57.8</w:t>
                  </w:r>
                </w:p>
              </w:tc>
              <w:tc>
                <w:tcPr>
                  <w:tcW w:w="680" w:type="dxa"/>
                  <w:vAlign w:val="center"/>
                </w:tcPr>
                <w:p>
                  <w:pPr>
                    <w:pStyle w:val="167"/>
                    <w:rPr>
                      <w:snapToGrid w:val="0"/>
                    </w:rPr>
                  </w:pPr>
                  <w:r>
                    <w:rPr>
                      <w:snapToGrid w:val="0"/>
                    </w:rPr>
                    <w:t>/</w:t>
                  </w:r>
                </w:p>
              </w:tc>
              <w:tc>
                <w:tcPr>
                  <w:tcW w:w="804" w:type="dxa"/>
                  <w:vAlign w:val="center"/>
                </w:tcPr>
                <w:p>
                  <w:pPr>
                    <w:pStyle w:val="167"/>
                    <w:rPr>
                      <w:snapToGrid w:val="0"/>
                    </w:rPr>
                  </w:pPr>
                  <w:r>
                    <w:rPr>
                      <w:snapToGrid w:val="0"/>
                    </w:rPr>
                    <w:t>0</w:t>
                  </w:r>
                </w:p>
              </w:tc>
              <w:tc>
                <w:tcPr>
                  <w:tcW w:w="703" w:type="dxa"/>
                  <w:vAlign w:val="center"/>
                </w:tcPr>
                <w:p>
                  <w:pPr>
                    <w:pStyle w:val="167"/>
                    <w:rPr>
                      <w:snapToGrid w:val="0"/>
                    </w:rPr>
                  </w:pPr>
                  <w:r>
                    <w:rPr>
                      <w:snapToGrid w:val="0"/>
                    </w:rPr>
                    <w:t>0</w:t>
                  </w:r>
                </w:p>
              </w:tc>
              <w:tc>
                <w:tcPr>
                  <w:tcW w:w="1432" w:type="dxa"/>
                  <w:vAlign w:val="center"/>
                </w:tcPr>
                <w:p>
                  <w:pPr>
                    <w:pStyle w:val="167"/>
                    <w:rPr>
                      <w:snapToGrid w:val="0"/>
                    </w:rPr>
                  </w:pPr>
                  <w:r>
                    <w:t>蒸发方式损耗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429" w:type="dxa"/>
                  <w:vMerge w:val="continue"/>
                  <w:vAlign w:val="center"/>
                </w:tcPr>
                <w:p>
                  <w:pPr>
                    <w:pStyle w:val="167"/>
                    <w:rPr>
                      <w:snapToGrid w:val="0"/>
                    </w:rPr>
                  </w:pPr>
                </w:p>
              </w:tc>
              <w:tc>
                <w:tcPr>
                  <w:tcW w:w="636" w:type="dxa"/>
                  <w:vAlign w:val="center"/>
                </w:tcPr>
                <w:p>
                  <w:pPr>
                    <w:pStyle w:val="167"/>
                    <w:rPr>
                      <w:snapToGrid w:val="0"/>
                    </w:rPr>
                  </w:pPr>
                  <w:r>
                    <w:rPr>
                      <w:snapToGrid w:val="0"/>
                    </w:rPr>
                    <w:t>皮带给料器（料斗）喷淋用水</w:t>
                  </w:r>
                </w:p>
              </w:tc>
              <w:tc>
                <w:tcPr>
                  <w:tcW w:w="1142" w:type="dxa"/>
                  <w:vAlign w:val="center"/>
                </w:tcPr>
                <w:p>
                  <w:pPr>
                    <w:pStyle w:val="167"/>
                  </w:pPr>
                  <w:r>
                    <w:t>0.005m³/t</w:t>
                  </w:r>
                </w:p>
              </w:tc>
              <w:tc>
                <w:tcPr>
                  <w:tcW w:w="637" w:type="dxa"/>
                  <w:vAlign w:val="center"/>
                </w:tcPr>
                <w:p>
                  <w:pPr>
                    <w:pStyle w:val="167"/>
                    <w:rPr>
                      <w:snapToGrid w:val="0"/>
                    </w:rPr>
                  </w:pPr>
                  <w:r>
                    <w:rPr>
                      <w:snapToGrid w:val="0"/>
                    </w:rPr>
                    <w:t>1514</w:t>
                  </w:r>
                </w:p>
              </w:tc>
              <w:tc>
                <w:tcPr>
                  <w:tcW w:w="1018" w:type="dxa"/>
                  <w:vAlign w:val="center"/>
                </w:tcPr>
                <w:p>
                  <w:pPr>
                    <w:pStyle w:val="167"/>
                    <w:rPr>
                      <w:snapToGrid w:val="0"/>
                    </w:rPr>
                  </w:pPr>
                  <w:r>
                    <w:rPr>
                      <w:snapToGrid w:val="0"/>
                    </w:rPr>
                    <w:t>0.252</w:t>
                  </w:r>
                </w:p>
              </w:tc>
              <w:tc>
                <w:tcPr>
                  <w:tcW w:w="899" w:type="dxa"/>
                  <w:vAlign w:val="center"/>
                </w:tcPr>
                <w:p>
                  <w:pPr>
                    <w:pStyle w:val="167"/>
                    <w:rPr>
                      <w:snapToGrid w:val="0"/>
                    </w:rPr>
                  </w:pPr>
                  <w:r>
                    <w:rPr>
                      <w:snapToGrid w:val="0"/>
                    </w:rPr>
                    <w:t>7.57</w:t>
                  </w:r>
                </w:p>
              </w:tc>
              <w:tc>
                <w:tcPr>
                  <w:tcW w:w="680" w:type="dxa"/>
                  <w:vAlign w:val="center"/>
                </w:tcPr>
                <w:p>
                  <w:pPr>
                    <w:pStyle w:val="167"/>
                    <w:rPr>
                      <w:snapToGrid w:val="0"/>
                    </w:rPr>
                  </w:pPr>
                  <w:r>
                    <w:rPr>
                      <w:snapToGrid w:val="0"/>
                    </w:rPr>
                    <w:t>/</w:t>
                  </w:r>
                </w:p>
              </w:tc>
              <w:tc>
                <w:tcPr>
                  <w:tcW w:w="804" w:type="dxa"/>
                  <w:vAlign w:val="center"/>
                </w:tcPr>
                <w:p>
                  <w:pPr>
                    <w:pStyle w:val="167"/>
                    <w:rPr>
                      <w:snapToGrid w:val="0"/>
                    </w:rPr>
                  </w:pPr>
                  <w:r>
                    <w:rPr>
                      <w:snapToGrid w:val="0"/>
                    </w:rPr>
                    <w:t>0</w:t>
                  </w:r>
                </w:p>
              </w:tc>
              <w:tc>
                <w:tcPr>
                  <w:tcW w:w="703" w:type="dxa"/>
                  <w:vAlign w:val="center"/>
                </w:tcPr>
                <w:p>
                  <w:pPr>
                    <w:pStyle w:val="167"/>
                    <w:rPr>
                      <w:snapToGrid w:val="0"/>
                    </w:rPr>
                  </w:pPr>
                  <w:r>
                    <w:rPr>
                      <w:snapToGrid w:val="0"/>
                    </w:rPr>
                    <w:t>0</w:t>
                  </w:r>
                </w:p>
              </w:tc>
              <w:tc>
                <w:tcPr>
                  <w:tcW w:w="1432" w:type="dxa"/>
                  <w:vAlign w:val="center"/>
                </w:tcPr>
                <w:p>
                  <w:pPr>
                    <w:pStyle w:val="167"/>
                  </w:pPr>
                  <w:r>
                    <w:t>蒸发方式损耗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429" w:type="dxa"/>
                  <w:vMerge w:val="continue"/>
                  <w:vAlign w:val="center"/>
                </w:tcPr>
                <w:p>
                  <w:pPr>
                    <w:pStyle w:val="167"/>
                    <w:rPr>
                      <w:snapToGrid w:val="0"/>
                    </w:rPr>
                  </w:pPr>
                </w:p>
              </w:tc>
              <w:tc>
                <w:tcPr>
                  <w:tcW w:w="2415" w:type="dxa"/>
                  <w:gridSpan w:val="3"/>
                  <w:vAlign w:val="center"/>
                </w:tcPr>
                <w:p>
                  <w:pPr>
                    <w:pStyle w:val="167"/>
                    <w:rPr>
                      <w:snapToGrid w:val="0"/>
                    </w:rPr>
                  </w:pPr>
                  <w:r>
                    <w:rPr>
                      <w:snapToGrid w:val="0"/>
                    </w:rPr>
                    <w:t>小计</w:t>
                  </w:r>
                </w:p>
              </w:tc>
              <w:tc>
                <w:tcPr>
                  <w:tcW w:w="1018" w:type="dxa"/>
                  <w:vAlign w:val="center"/>
                </w:tcPr>
                <w:p>
                  <w:pPr>
                    <w:pStyle w:val="167"/>
                    <w:rPr>
                      <w:snapToGrid w:val="0"/>
                    </w:rPr>
                  </w:pPr>
                  <w:r>
                    <w:rPr>
                      <w:snapToGrid w:val="0"/>
                    </w:rPr>
                    <w:t>2.397</w:t>
                  </w:r>
                </w:p>
                <w:p>
                  <w:pPr>
                    <w:pStyle w:val="167"/>
                    <w:rPr>
                      <w:snapToGrid w:val="0"/>
                    </w:rPr>
                  </w:pPr>
                  <w:r>
                    <w:rPr>
                      <w:snapToGrid w:val="0"/>
                    </w:rPr>
                    <w:t>（0.16）</w:t>
                  </w:r>
                </w:p>
              </w:tc>
              <w:tc>
                <w:tcPr>
                  <w:tcW w:w="899" w:type="dxa"/>
                  <w:vAlign w:val="center"/>
                </w:tcPr>
                <w:p>
                  <w:pPr>
                    <w:pStyle w:val="167"/>
                    <w:rPr>
                      <w:snapToGrid w:val="0"/>
                    </w:rPr>
                  </w:pPr>
                  <w:r>
                    <w:rPr>
                      <w:snapToGrid w:val="0"/>
                    </w:rPr>
                    <w:t>69.37</w:t>
                  </w:r>
                </w:p>
                <w:p>
                  <w:pPr>
                    <w:pStyle w:val="167"/>
                    <w:rPr>
                      <w:snapToGrid w:val="0"/>
                    </w:rPr>
                  </w:pPr>
                  <w:r>
                    <w:rPr>
                      <w:snapToGrid w:val="0"/>
                    </w:rPr>
                    <w:t>（4.8）</w:t>
                  </w:r>
                </w:p>
              </w:tc>
              <w:tc>
                <w:tcPr>
                  <w:tcW w:w="680" w:type="dxa"/>
                  <w:vAlign w:val="center"/>
                </w:tcPr>
                <w:p>
                  <w:pPr>
                    <w:pStyle w:val="167"/>
                    <w:rPr>
                      <w:snapToGrid w:val="0"/>
                    </w:rPr>
                  </w:pPr>
                  <w:r>
                    <w:rPr>
                      <w:snapToGrid w:val="0"/>
                    </w:rPr>
                    <w:t>0.57</w:t>
                  </w:r>
                </w:p>
              </w:tc>
              <w:tc>
                <w:tcPr>
                  <w:tcW w:w="804" w:type="dxa"/>
                  <w:vAlign w:val="center"/>
                </w:tcPr>
                <w:p>
                  <w:pPr>
                    <w:pStyle w:val="167"/>
                    <w:rPr>
                      <w:snapToGrid w:val="0"/>
                    </w:rPr>
                  </w:pPr>
                  <w:r>
                    <w:rPr>
                      <w:snapToGrid w:val="0"/>
                    </w:rPr>
                    <w:t>0.133</w:t>
                  </w:r>
                </w:p>
              </w:tc>
              <w:tc>
                <w:tcPr>
                  <w:tcW w:w="703" w:type="dxa"/>
                  <w:vAlign w:val="center"/>
                </w:tcPr>
                <w:p>
                  <w:pPr>
                    <w:pStyle w:val="167"/>
                    <w:rPr>
                      <w:snapToGrid w:val="0"/>
                    </w:rPr>
                  </w:pPr>
                  <w:r>
                    <w:rPr>
                      <w:snapToGrid w:val="0"/>
                    </w:rPr>
                    <w:t>4</w:t>
                  </w:r>
                </w:p>
              </w:tc>
              <w:tc>
                <w:tcPr>
                  <w:tcW w:w="1432" w:type="dxa"/>
                  <w:vAlign w:val="center"/>
                </w:tcPr>
                <w:p>
                  <w:pPr>
                    <w:pStyle w:val="167"/>
                    <w:rPr>
                      <w:snapToGrid w:val="0"/>
                      <w:lang w:bidi="ar"/>
                    </w:rPr>
                  </w:pPr>
                  <w:r>
                    <w:t>喷淋塔循环废水收集后及作为乳化沥青配浆用水使用，不直接外排。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1065" w:type="dxa"/>
                  <w:gridSpan w:val="2"/>
                  <w:vAlign w:val="center"/>
                </w:tcPr>
                <w:p>
                  <w:pPr>
                    <w:pStyle w:val="167"/>
                    <w:rPr>
                      <w:snapToGrid w:val="0"/>
                    </w:rPr>
                  </w:pPr>
                  <w:r>
                    <w:rPr>
                      <w:snapToGrid w:val="0"/>
                    </w:rPr>
                    <w:t>办公用水</w:t>
                  </w:r>
                </w:p>
              </w:tc>
              <w:tc>
                <w:tcPr>
                  <w:tcW w:w="1142" w:type="dxa"/>
                  <w:vAlign w:val="center"/>
                </w:tcPr>
                <w:p>
                  <w:pPr>
                    <w:pStyle w:val="167"/>
                    <w:rPr>
                      <w:snapToGrid w:val="0"/>
                    </w:rPr>
                  </w:pPr>
                  <w:r>
                    <w:rPr>
                      <w:snapToGrid w:val="0"/>
                    </w:rPr>
                    <w:t>30L/人·d</w:t>
                  </w:r>
                </w:p>
              </w:tc>
              <w:tc>
                <w:tcPr>
                  <w:tcW w:w="637" w:type="dxa"/>
                  <w:vAlign w:val="center"/>
                </w:tcPr>
                <w:p>
                  <w:pPr>
                    <w:pStyle w:val="167"/>
                    <w:rPr>
                      <w:snapToGrid w:val="0"/>
                    </w:rPr>
                  </w:pPr>
                  <w:r>
                    <w:rPr>
                      <w:snapToGrid w:val="0"/>
                    </w:rPr>
                    <w:t>5人</w:t>
                  </w:r>
                </w:p>
              </w:tc>
              <w:tc>
                <w:tcPr>
                  <w:tcW w:w="1018" w:type="dxa"/>
                  <w:vAlign w:val="center"/>
                </w:tcPr>
                <w:p>
                  <w:pPr>
                    <w:pStyle w:val="167"/>
                    <w:rPr>
                      <w:snapToGrid w:val="0"/>
                    </w:rPr>
                  </w:pPr>
                  <w:r>
                    <w:rPr>
                      <w:snapToGrid w:val="0"/>
                    </w:rPr>
                    <w:t>0.15</w:t>
                  </w:r>
                </w:p>
              </w:tc>
              <w:tc>
                <w:tcPr>
                  <w:tcW w:w="899" w:type="dxa"/>
                  <w:vAlign w:val="center"/>
                </w:tcPr>
                <w:p>
                  <w:pPr>
                    <w:pStyle w:val="167"/>
                    <w:rPr>
                      <w:snapToGrid w:val="0"/>
                    </w:rPr>
                  </w:pPr>
                  <w:r>
                    <w:rPr>
                      <w:snapToGrid w:val="0"/>
                    </w:rPr>
                    <w:t>4.5</w:t>
                  </w:r>
                </w:p>
              </w:tc>
              <w:tc>
                <w:tcPr>
                  <w:tcW w:w="680" w:type="dxa"/>
                  <w:vAlign w:val="center"/>
                </w:tcPr>
                <w:p>
                  <w:pPr>
                    <w:pStyle w:val="167"/>
                    <w:rPr>
                      <w:snapToGrid w:val="0"/>
                    </w:rPr>
                  </w:pPr>
                  <w:r>
                    <w:rPr>
                      <w:snapToGrid w:val="0"/>
                    </w:rPr>
                    <w:t>0.9</w:t>
                  </w:r>
                </w:p>
              </w:tc>
              <w:tc>
                <w:tcPr>
                  <w:tcW w:w="804" w:type="dxa"/>
                  <w:vAlign w:val="center"/>
                </w:tcPr>
                <w:p>
                  <w:pPr>
                    <w:pStyle w:val="167"/>
                    <w:rPr>
                      <w:snapToGrid w:val="0"/>
                    </w:rPr>
                  </w:pPr>
                  <w:r>
                    <w:rPr>
                      <w:snapToGrid w:val="0"/>
                    </w:rPr>
                    <w:t>0.135</w:t>
                  </w:r>
                </w:p>
              </w:tc>
              <w:tc>
                <w:tcPr>
                  <w:tcW w:w="703" w:type="dxa"/>
                  <w:vAlign w:val="center"/>
                </w:tcPr>
                <w:p>
                  <w:pPr>
                    <w:pStyle w:val="167"/>
                    <w:rPr>
                      <w:snapToGrid w:val="0"/>
                    </w:rPr>
                  </w:pPr>
                  <w:r>
                    <w:rPr>
                      <w:snapToGrid w:val="0"/>
                    </w:rPr>
                    <w:t>4.05</w:t>
                  </w:r>
                </w:p>
              </w:tc>
              <w:tc>
                <w:tcPr>
                  <w:tcW w:w="1432" w:type="dxa"/>
                  <w:vAlign w:val="center"/>
                </w:tcPr>
                <w:p>
                  <w:pPr>
                    <w:pStyle w:val="167"/>
                    <w:rPr>
                      <w:snapToGrid w:val="0"/>
                    </w:rPr>
                  </w:pPr>
                  <w:r>
                    <w:t>依托云龙公路分局河南石料场公路养护配套改扩建项目现有旱厕处理后，委托附近村民定期清掏施肥。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1065" w:type="dxa"/>
                  <w:gridSpan w:val="2"/>
                  <w:vAlign w:val="center"/>
                </w:tcPr>
                <w:p>
                  <w:pPr>
                    <w:pStyle w:val="167"/>
                    <w:rPr>
                      <w:snapToGrid w:val="0"/>
                    </w:rPr>
                  </w:pPr>
                  <w:r>
                    <w:rPr>
                      <w:snapToGrid w:val="0"/>
                    </w:rPr>
                    <w:t>初期雨水</w:t>
                  </w:r>
                </w:p>
              </w:tc>
              <w:tc>
                <w:tcPr>
                  <w:tcW w:w="1142" w:type="dxa"/>
                  <w:vAlign w:val="center"/>
                </w:tcPr>
                <w:p>
                  <w:pPr>
                    <w:pStyle w:val="167"/>
                    <w:rPr>
                      <w:snapToGrid w:val="0"/>
                    </w:rPr>
                  </w:pPr>
                  <w:r>
                    <w:rPr>
                      <w:snapToGrid w:val="0"/>
                    </w:rPr>
                    <w:t>/</w:t>
                  </w:r>
                </w:p>
              </w:tc>
              <w:tc>
                <w:tcPr>
                  <w:tcW w:w="637" w:type="dxa"/>
                  <w:vAlign w:val="center"/>
                </w:tcPr>
                <w:p>
                  <w:pPr>
                    <w:pStyle w:val="167"/>
                    <w:rPr>
                      <w:snapToGrid w:val="0"/>
                    </w:rPr>
                  </w:pPr>
                  <w:r>
                    <w:rPr>
                      <w:snapToGrid w:val="0"/>
                    </w:rPr>
                    <w:t>/</w:t>
                  </w:r>
                </w:p>
              </w:tc>
              <w:tc>
                <w:tcPr>
                  <w:tcW w:w="1018" w:type="dxa"/>
                  <w:vAlign w:val="center"/>
                </w:tcPr>
                <w:p>
                  <w:pPr>
                    <w:pStyle w:val="167"/>
                    <w:rPr>
                      <w:snapToGrid w:val="0"/>
                    </w:rPr>
                  </w:pPr>
                  <w:r>
                    <w:rPr>
                      <w:snapToGrid w:val="0"/>
                    </w:rPr>
                    <w:t>/</w:t>
                  </w:r>
                </w:p>
              </w:tc>
              <w:tc>
                <w:tcPr>
                  <w:tcW w:w="899" w:type="dxa"/>
                  <w:vAlign w:val="center"/>
                </w:tcPr>
                <w:p>
                  <w:pPr>
                    <w:pStyle w:val="167"/>
                    <w:rPr>
                      <w:snapToGrid w:val="0"/>
                    </w:rPr>
                  </w:pPr>
                  <w:r>
                    <w:rPr>
                      <w:snapToGrid w:val="0"/>
                    </w:rPr>
                    <w:t>/</w:t>
                  </w:r>
                </w:p>
              </w:tc>
              <w:tc>
                <w:tcPr>
                  <w:tcW w:w="680" w:type="dxa"/>
                  <w:vAlign w:val="center"/>
                </w:tcPr>
                <w:p>
                  <w:pPr>
                    <w:pStyle w:val="167"/>
                    <w:rPr>
                      <w:snapToGrid w:val="0"/>
                    </w:rPr>
                  </w:pPr>
                  <w:r>
                    <w:rPr>
                      <w:snapToGrid w:val="0"/>
                    </w:rPr>
                    <w:t>/</w:t>
                  </w:r>
                </w:p>
              </w:tc>
              <w:tc>
                <w:tcPr>
                  <w:tcW w:w="804" w:type="dxa"/>
                  <w:vAlign w:val="center"/>
                </w:tcPr>
                <w:p>
                  <w:pPr>
                    <w:pStyle w:val="167"/>
                    <w:rPr>
                      <w:snapToGrid w:val="0"/>
                    </w:rPr>
                  </w:pPr>
                  <w:r>
                    <w:rPr>
                      <w:snapToGrid w:val="0"/>
                    </w:rPr>
                    <w:t>1.6</w:t>
                  </w:r>
                </w:p>
              </w:tc>
              <w:tc>
                <w:tcPr>
                  <w:tcW w:w="703" w:type="dxa"/>
                  <w:vAlign w:val="center"/>
                </w:tcPr>
                <w:p>
                  <w:pPr>
                    <w:pStyle w:val="167"/>
                    <w:rPr>
                      <w:snapToGrid w:val="0"/>
                    </w:rPr>
                  </w:pPr>
                  <w:r>
                    <w:rPr>
                      <w:snapToGrid w:val="0"/>
                    </w:rPr>
                    <w:t>48</w:t>
                  </w:r>
                </w:p>
              </w:tc>
              <w:tc>
                <w:tcPr>
                  <w:tcW w:w="1432" w:type="dxa"/>
                  <w:vAlign w:val="center"/>
                </w:tcPr>
                <w:p>
                  <w:pPr>
                    <w:pStyle w:val="167"/>
                  </w:pPr>
                  <w:r>
                    <w:t>用于非雨天洒水降尘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2844" w:type="dxa"/>
                  <w:gridSpan w:val="4"/>
                  <w:vAlign w:val="center"/>
                </w:tcPr>
                <w:p>
                  <w:pPr>
                    <w:pStyle w:val="167"/>
                    <w:rPr>
                      <w:snapToGrid w:val="0"/>
                    </w:rPr>
                  </w:pPr>
                  <w:r>
                    <w:rPr>
                      <w:snapToGrid w:val="0"/>
                    </w:rPr>
                    <w:t>合计</w:t>
                  </w:r>
                </w:p>
              </w:tc>
              <w:tc>
                <w:tcPr>
                  <w:tcW w:w="1018" w:type="dxa"/>
                  <w:vAlign w:val="center"/>
                </w:tcPr>
                <w:p>
                  <w:pPr>
                    <w:pStyle w:val="167"/>
                    <w:rPr>
                      <w:snapToGrid w:val="0"/>
                    </w:rPr>
                  </w:pPr>
                  <w:r>
                    <w:rPr>
                      <w:snapToGrid w:val="0"/>
                    </w:rPr>
                    <w:t>2.547</w:t>
                  </w:r>
                </w:p>
                <w:p>
                  <w:pPr>
                    <w:pStyle w:val="167"/>
                    <w:rPr>
                      <w:snapToGrid w:val="0"/>
                    </w:rPr>
                  </w:pPr>
                  <w:r>
                    <w:rPr>
                      <w:snapToGrid w:val="0"/>
                    </w:rPr>
                    <w:t>（0.16）</w:t>
                  </w:r>
                </w:p>
              </w:tc>
              <w:tc>
                <w:tcPr>
                  <w:tcW w:w="899" w:type="dxa"/>
                  <w:vAlign w:val="center"/>
                </w:tcPr>
                <w:p>
                  <w:pPr>
                    <w:pStyle w:val="167"/>
                    <w:rPr>
                      <w:snapToGrid w:val="0"/>
                    </w:rPr>
                  </w:pPr>
                  <w:r>
                    <w:rPr>
                      <w:snapToGrid w:val="0"/>
                    </w:rPr>
                    <w:t>73.87</w:t>
                  </w:r>
                </w:p>
                <w:p>
                  <w:pPr>
                    <w:pStyle w:val="167"/>
                    <w:rPr>
                      <w:snapToGrid w:val="0"/>
                    </w:rPr>
                  </w:pPr>
                  <w:r>
                    <w:rPr>
                      <w:snapToGrid w:val="0"/>
                    </w:rPr>
                    <w:t>（4.8）</w:t>
                  </w:r>
                </w:p>
              </w:tc>
              <w:tc>
                <w:tcPr>
                  <w:tcW w:w="680" w:type="dxa"/>
                  <w:vAlign w:val="center"/>
                </w:tcPr>
                <w:p>
                  <w:pPr>
                    <w:pStyle w:val="167"/>
                    <w:rPr>
                      <w:snapToGrid w:val="0"/>
                    </w:rPr>
                  </w:pPr>
                  <w:r>
                    <w:rPr>
                      <w:lang w:bidi="ar"/>
                    </w:rPr>
                    <w:t>/</w:t>
                  </w:r>
                </w:p>
              </w:tc>
              <w:tc>
                <w:tcPr>
                  <w:tcW w:w="804" w:type="dxa"/>
                  <w:vAlign w:val="center"/>
                </w:tcPr>
                <w:p>
                  <w:pPr>
                    <w:pStyle w:val="167"/>
                    <w:rPr>
                      <w:snapToGrid w:val="0"/>
                    </w:rPr>
                  </w:pPr>
                  <w:r>
                    <w:rPr>
                      <w:snapToGrid w:val="0"/>
                    </w:rPr>
                    <w:t>1.868</w:t>
                  </w:r>
                </w:p>
              </w:tc>
              <w:tc>
                <w:tcPr>
                  <w:tcW w:w="703" w:type="dxa"/>
                  <w:vAlign w:val="center"/>
                </w:tcPr>
                <w:p>
                  <w:pPr>
                    <w:pStyle w:val="167"/>
                    <w:rPr>
                      <w:snapToGrid w:val="0"/>
                    </w:rPr>
                  </w:pPr>
                  <w:r>
                    <w:rPr>
                      <w:snapToGrid w:val="0"/>
                    </w:rPr>
                    <w:t>56.05</w:t>
                  </w:r>
                </w:p>
              </w:tc>
              <w:tc>
                <w:tcPr>
                  <w:tcW w:w="1432" w:type="dxa"/>
                  <w:vAlign w:val="center"/>
                </w:tcPr>
                <w:p>
                  <w:pPr>
                    <w:pStyle w:val="167"/>
                    <w:rPr>
                      <w:snapToGrid w:val="0"/>
                    </w:rPr>
                  </w:pPr>
                  <w:r>
                    <w:rPr>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8380" w:type="dxa"/>
                  <w:gridSpan w:val="10"/>
                  <w:vAlign w:val="center"/>
                </w:tcPr>
                <w:p>
                  <w:pPr>
                    <w:pStyle w:val="167"/>
                    <w:rPr>
                      <w:szCs w:val="21"/>
                    </w:rPr>
                  </w:pPr>
                  <w:r>
                    <w:rPr>
                      <w:szCs w:val="21"/>
                    </w:rPr>
                    <w:t>备注：</w:t>
                  </w: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t>括号内为补充新鲜水用量，括号外为新鲜水及循环水用量；</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本项目雨天不生产。</w:t>
                  </w:r>
                </w:p>
              </w:tc>
            </w:tr>
          </w:tbl>
          <w:p>
            <w:pPr>
              <w:pStyle w:val="111"/>
            </w:pPr>
            <w:r>
              <w:t>（3）项目运营期用排水平衡</w:t>
            </w:r>
          </w:p>
          <w:p>
            <w:pPr>
              <w:pStyle w:val="139"/>
              <w:ind w:firstLine="480"/>
            </w:pPr>
            <w:r>
              <w:t>项目运营期水平衡如图2-2、2-3所示。</w:t>
            </w:r>
          </w:p>
          <w:p>
            <w:pPr>
              <w:pStyle w:val="114"/>
            </w:pPr>
            <w:r>
              <w:object>
                <v:shape id="_x0000_i1026" o:spt="75" type="#_x0000_t75" style="height:237.3pt;width:413.9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168"/>
            </w:pPr>
            <w:r>
              <w:t>图2-2   项目运营期全年水平衡示意图   单位：m³/a</w:t>
            </w:r>
          </w:p>
          <w:p>
            <w:pPr>
              <w:pStyle w:val="114"/>
            </w:pPr>
            <w:r>
              <w:object>
                <v:shape id="_x0000_i1027" o:spt="75" type="#_x0000_t75" style="height:223.25pt;width:415.9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pStyle w:val="168"/>
            </w:pPr>
            <w:r>
              <w:t>图2-3   项目运营期水平衡示意图   单位：m³/d</w:t>
            </w:r>
          </w:p>
          <w:p>
            <w:pPr>
              <w:pStyle w:val="108"/>
              <w:rPr>
                <w:color w:val="auto"/>
              </w:rPr>
            </w:pPr>
            <w:r>
              <w:rPr>
                <w:color w:val="auto"/>
              </w:rPr>
              <w:t>2.1.8环保投资</w:t>
            </w:r>
          </w:p>
          <w:p>
            <w:pPr>
              <w:pStyle w:val="139"/>
              <w:ind w:firstLine="480"/>
            </w:pPr>
            <w:r>
              <w:t>项目总投资129.8万元，其中环保投资43.6万元，占总投资的33.59%，项目环保投资情况见下表。</w:t>
            </w:r>
          </w:p>
          <w:p>
            <w:pPr>
              <w:pStyle w:val="139"/>
              <w:ind w:firstLine="480"/>
            </w:pPr>
          </w:p>
          <w:p>
            <w:pPr>
              <w:pStyle w:val="139"/>
              <w:ind w:firstLine="480"/>
            </w:pPr>
          </w:p>
          <w:p>
            <w:pPr>
              <w:pStyle w:val="139"/>
              <w:ind w:firstLine="480"/>
            </w:pPr>
          </w:p>
          <w:p>
            <w:pPr>
              <w:pStyle w:val="139"/>
              <w:ind w:firstLine="480"/>
            </w:pPr>
          </w:p>
          <w:p>
            <w:pPr>
              <w:pStyle w:val="168"/>
            </w:pPr>
            <w:r>
              <w:t>表2-8   环保投资概算表   单位：万</w:t>
            </w:r>
          </w:p>
          <w:tbl>
            <w:tblPr>
              <w:tblStyle w:val="28"/>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514"/>
              <w:gridCol w:w="835"/>
              <w:gridCol w:w="4980"/>
              <w:gridCol w:w="768"/>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shd w:val="clear" w:color="auto" w:fill="auto"/>
                  <w:vAlign w:val="center"/>
                </w:tcPr>
                <w:p>
                  <w:pPr>
                    <w:pStyle w:val="167"/>
                  </w:pPr>
                  <w:r>
                    <w:t>类别</w:t>
                  </w:r>
                </w:p>
              </w:tc>
              <w:tc>
                <w:tcPr>
                  <w:tcW w:w="1349" w:type="dxa"/>
                  <w:gridSpan w:val="2"/>
                  <w:shd w:val="clear" w:color="auto" w:fill="auto"/>
                  <w:vAlign w:val="center"/>
                </w:tcPr>
                <w:p>
                  <w:pPr>
                    <w:pStyle w:val="167"/>
                  </w:pPr>
                  <w:r>
                    <w:t>保护对象</w:t>
                  </w:r>
                </w:p>
              </w:tc>
              <w:tc>
                <w:tcPr>
                  <w:tcW w:w="4980" w:type="dxa"/>
                  <w:shd w:val="clear" w:color="auto" w:fill="auto"/>
                  <w:vAlign w:val="center"/>
                </w:tcPr>
                <w:p>
                  <w:pPr>
                    <w:pStyle w:val="167"/>
                  </w:pPr>
                  <w:r>
                    <w:t>环保措施</w:t>
                  </w:r>
                </w:p>
              </w:tc>
              <w:tc>
                <w:tcPr>
                  <w:tcW w:w="768" w:type="dxa"/>
                  <w:shd w:val="clear" w:color="auto" w:fill="auto"/>
                  <w:vAlign w:val="center"/>
                </w:tcPr>
                <w:p>
                  <w:pPr>
                    <w:pStyle w:val="167"/>
                  </w:pPr>
                  <w:r>
                    <w:t>投资估算（万元）</w:t>
                  </w:r>
                </w:p>
              </w:tc>
              <w:tc>
                <w:tcPr>
                  <w:tcW w:w="813" w:type="dxa"/>
                  <w:shd w:val="clear" w:color="auto" w:fill="auto"/>
                  <w:vAlign w:val="center"/>
                </w:tcPr>
                <w:p>
                  <w:pPr>
                    <w:pStyle w:val="167"/>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restart"/>
                  <w:shd w:val="clear" w:color="auto" w:fill="auto"/>
                  <w:vAlign w:val="center"/>
                </w:tcPr>
                <w:p>
                  <w:pPr>
                    <w:pStyle w:val="167"/>
                  </w:pPr>
                  <w:r>
                    <w:t>施工期</w:t>
                  </w:r>
                </w:p>
              </w:tc>
              <w:tc>
                <w:tcPr>
                  <w:tcW w:w="1349" w:type="dxa"/>
                  <w:gridSpan w:val="2"/>
                  <w:shd w:val="clear" w:color="auto" w:fill="auto"/>
                  <w:vAlign w:val="center"/>
                </w:tcPr>
                <w:p>
                  <w:pPr>
                    <w:pStyle w:val="167"/>
                  </w:pPr>
                  <w:r>
                    <w:t>大气环境</w:t>
                  </w:r>
                </w:p>
              </w:tc>
              <w:tc>
                <w:tcPr>
                  <w:tcW w:w="4980" w:type="dxa"/>
                  <w:shd w:val="clear" w:color="auto" w:fill="auto"/>
                  <w:vAlign w:val="center"/>
                </w:tcPr>
                <w:p>
                  <w:pPr>
                    <w:pStyle w:val="167"/>
                  </w:pPr>
                  <w:r>
                    <w:t>对施工期场地进洒水降尘，建筑材料采用篷布覆盖</w:t>
                  </w:r>
                </w:p>
              </w:tc>
              <w:tc>
                <w:tcPr>
                  <w:tcW w:w="768" w:type="dxa"/>
                  <w:shd w:val="clear" w:color="auto" w:fill="auto"/>
                  <w:vAlign w:val="center"/>
                </w:tcPr>
                <w:p>
                  <w:pPr>
                    <w:pStyle w:val="167"/>
                  </w:pPr>
                  <w:r>
                    <w:t>0.1</w:t>
                  </w:r>
                </w:p>
              </w:tc>
              <w:tc>
                <w:tcPr>
                  <w:tcW w:w="813" w:type="dxa"/>
                  <w:vMerge w:val="restart"/>
                  <w:shd w:val="clear" w:color="auto" w:fill="auto"/>
                  <w:vAlign w:val="center"/>
                </w:tcPr>
                <w:p>
                  <w:pPr>
                    <w:pStyle w:val="167"/>
                  </w:pPr>
                  <w:r>
                    <w:t>已建（现阶段已拆除）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1349" w:type="dxa"/>
                  <w:gridSpan w:val="2"/>
                  <w:shd w:val="clear" w:color="auto" w:fill="auto"/>
                  <w:vAlign w:val="center"/>
                </w:tcPr>
                <w:p>
                  <w:pPr>
                    <w:pStyle w:val="167"/>
                  </w:pPr>
                  <w:r>
                    <w:t>地表水环境</w:t>
                  </w:r>
                </w:p>
              </w:tc>
              <w:tc>
                <w:tcPr>
                  <w:tcW w:w="4980" w:type="dxa"/>
                  <w:shd w:val="clear" w:color="auto" w:fill="auto"/>
                  <w:vAlign w:val="center"/>
                </w:tcPr>
                <w:p>
                  <w:pPr>
                    <w:pStyle w:val="167"/>
                  </w:pPr>
                  <w:r>
                    <w:t>新建一个容积为1m³的临时沉淀池</w:t>
                  </w:r>
                </w:p>
              </w:tc>
              <w:tc>
                <w:tcPr>
                  <w:tcW w:w="768" w:type="dxa"/>
                  <w:shd w:val="clear" w:color="auto" w:fill="auto"/>
                  <w:vAlign w:val="center"/>
                </w:tcPr>
                <w:p>
                  <w:pPr>
                    <w:pStyle w:val="167"/>
                  </w:pPr>
                  <w:r>
                    <w:t>0.1</w:t>
                  </w:r>
                </w:p>
              </w:tc>
              <w:tc>
                <w:tcPr>
                  <w:tcW w:w="813"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1349" w:type="dxa"/>
                  <w:gridSpan w:val="2"/>
                  <w:shd w:val="clear" w:color="auto" w:fill="auto"/>
                  <w:vAlign w:val="center"/>
                </w:tcPr>
                <w:p>
                  <w:pPr>
                    <w:pStyle w:val="167"/>
                  </w:pPr>
                  <w:r>
                    <w:t>声环境</w:t>
                  </w:r>
                </w:p>
              </w:tc>
              <w:tc>
                <w:tcPr>
                  <w:tcW w:w="4980" w:type="dxa"/>
                  <w:shd w:val="clear" w:color="auto" w:fill="auto"/>
                  <w:vAlign w:val="center"/>
                </w:tcPr>
                <w:p>
                  <w:pPr>
                    <w:pStyle w:val="167"/>
                  </w:pPr>
                  <w:r>
                    <w:t>机械降噪措施、加强管理文明施工等</w:t>
                  </w:r>
                </w:p>
              </w:tc>
              <w:tc>
                <w:tcPr>
                  <w:tcW w:w="768" w:type="dxa"/>
                  <w:shd w:val="clear" w:color="auto" w:fill="auto"/>
                  <w:vAlign w:val="center"/>
                </w:tcPr>
                <w:p>
                  <w:pPr>
                    <w:pStyle w:val="167"/>
                  </w:pPr>
                  <w:r>
                    <w:t>0.1</w:t>
                  </w:r>
                </w:p>
              </w:tc>
              <w:tc>
                <w:tcPr>
                  <w:tcW w:w="813"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1349" w:type="dxa"/>
                  <w:gridSpan w:val="2"/>
                  <w:shd w:val="clear" w:color="auto" w:fill="auto"/>
                  <w:vAlign w:val="center"/>
                </w:tcPr>
                <w:p>
                  <w:pPr>
                    <w:pStyle w:val="167"/>
                  </w:pPr>
                  <w:r>
                    <w:t>固废</w:t>
                  </w:r>
                </w:p>
              </w:tc>
              <w:tc>
                <w:tcPr>
                  <w:tcW w:w="4980" w:type="dxa"/>
                  <w:shd w:val="clear" w:color="auto" w:fill="auto"/>
                  <w:vAlign w:val="center"/>
                </w:tcPr>
                <w:p>
                  <w:pPr>
                    <w:pStyle w:val="167"/>
                  </w:pPr>
                  <w:r>
                    <w:t>建筑垃圾、废弃土石方清运</w:t>
                  </w:r>
                </w:p>
              </w:tc>
              <w:tc>
                <w:tcPr>
                  <w:tcW w:w="768" w:type="dxa"/>
                  <w:shd w:val="clear" w:color="auto" w:fill="auto"/>
                  <w:vAlign w:val="center"/>
                </w:tcPr>
                <w:p>
                  <w:pPr>
                    <w:pStyle w:val="167"/>
                  </w:pPr>
                  <w:r>
                    <w:t>0.2</w:t>
                  </w:r>
                </w:p>
              </w:tc>
              <w:tc>
                <w:tcPr>
                  <w:tcW w:w="813"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blHeader/>
              </w:trPr>
              <w:tc>
                <w:tcPr>
                  <w:tcW w:w="470" w:type="dxa"/>
                  <w:vMerge w:val="restart"/>
                  <w:shd w:val="clear" w:color="auto" w:fill="auto"/>
                  <w:vAlign w:val="center"/>
                </w:tcPr>
                <w:p>
                  <w:pPr>
                    <w:pStyle w:val="167"/>
                  </w:pPr>
                  <w:r>
                    <w:t>运</w:t>
                  </w:r>
                  <w:r>
                    <w:cr/>
                  </w:r>
                  <w:r>
                    <w:t>营</w:t>
                  </w:r>
                </w:p>
                <w:p>
                  <w:pPr>
                    <w:pStyle w:val="167"/>
                  </w:pPr>
                  <w:r>
                    <w:t>期</w:t>
                  </w:r>
                </w:p>
              </w:tc>
              <w:tc>
                <w:tcPr>
                  <w:tcW w:w="514" w:type="dxa"/>
                  <w:vMerge w:val="restart"/>
                  <w:shd w:val="clear" w:color="auto" w:fill="auto"/>
                  <w:vAlign w:val="center"/>
                </w:tcPr>
                <w:p>
                  <w:pPr>
                    <w:pStyle w:val="167"/>
                  </w:pPr>
                  <w:r>
                    <w:t>大气环境</w:t>
                  </w:r>
                </w:p>
              </w:tc>
              <w:tc>
                <w:tcPr>
                  <w:tcW w:w="835" w:type="dxa"/>
                  <w:vAlign w:val="center"/>
                </w:tcPr>
                <w:p>
                  <w:pPr>
                    <w:pStyle w:val="167"/>
                  </w:pPr>
                  <w:r>
                    <w:t>场地/道路扬尘</w:t>
                  </w:r>
                </w:p>
              </w:tc>
              <w:tc>
                <w:tcPr>
                  <w:tcW w:w="4980" w:type="dxa"/>
                  <w:shd w:val="clear" w:color="auto" w:fill="auto"/>
                  <w:vAlign w:val="center"/>
                </w:tcPr>
                <w:p>
                  <w:pPr>
                    <w:pStyle w:val="167"/>
                  </w:pPr>
                  <w:r>
                    <w:t>对项目区地面和进场道路进行硬化处理</w:t>
                  </w:r>
                </w:p>
              </w:tc>
              <w:tc>
                <w:tcPr>
                  <w:tcW w:w="768" w:type="dxa"/>
                  <w:shd w:val="clear" w:color="auto" w:fill="auto"/>
                  <w:vAlign w:val="center"/>
                </w:tcPr>
                <w:p>
                  <w:pPr>
                    <w:pStyle w:val="167"/>
                  </w:pPr>
                  <w:r>
                    <w:t>7</w:t>
                  </w:r>
                </w:p>
              </w:tc>
              <w:tc>
                <w:tcPr>
                  <w:tcW w:w="813" w:type="dxa"/>
                  <w:shd w:val="clear" w:color="auto" w:fill="auto"/>
                  <w:vAlign w:val="center"/>
                </w:tcPr>
                <w:p>
                  <w:pPr>
                    <w:pStyle w:val="167"/>
                  </w:pPr>
                  <w: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冷料上料仓粉尘</w:t>
                  </w:r>
                </w:p>
              </w:tc>
              <w:tc>
                <w:tcPr>
                  <w:tcW w:w="4980" w:type="dxa"/>
                  <w:shd w:val="clear" w:color="auto" w:fill="auto"/>
                  <w:vAlign w:val="center"/>
                </w:tcPr>
                <w:p>
                  <w:pPr>
                    <w:pStyle w:val="167"/>
                  </w:pPr>
                  <w:r>
                    <w:t>采用彩钢瓦对皮带给料器（料斗）进行三面封闭处理，并设置喷淋装置</w:t>
                  </w:r>
                </w:p>
              </w:tc>
              <w:tc>
                <w:tcPr>
                  <w:tcW w:w="768" w:type="dxa"/>
                  <w:shd w:val="clear" w:color="auto" w:fill="auto"/>
                  <w:vAlign w:val="center"/>
                </w:tcPr>
                <w:p>
                  <w:pPr>
                    <w:pStyle w:val="167"/>
                  </w:pPr>
                  <w:r>
                    <w:t>0.1</w:t>
                  </w:r>
                </w:p>
              </w:tc>
              <w:tc>
                <w:tcPr>
                  <w:tcW w:w="813" w:type="dxa"/>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冷料传送粉尘</w:t>
                  </w:r>
                </w:p>
              </w:tc>
              <w:tc>
                <w:tcPr>
                  <w:tcW w:w="4980" w:type="dxa"/>
                  <w:shd w:val="clear" w:color="auto" w:fill="auto"/>
                  <w:vAlign w:val="center"/>
                </w:tcPr>
                <w:p>
                  <w:pPr>
                    <w:pStyle w:val="167"/>
                  </w:pPr>
                  <w:r>
                    <w:t>采用彩钢瓦对传输装置进行密闭处理</w:t>
                  </w:r>
                </w:p>
              </w:tc>
              <w:tc>
                <w:tcPr>
                  <w:tcW w:w="768" w:type="dxa"/>
                  <w:shd w:val="clear" w:color="auto" w:fill="auto"/>
                  <w:vAlign w:val="center"/>
                </w:tcPr>
                <w:p>
                  <w:pPr>
                    <w:pStyle w:val="167"/>
                  </w:pPr>
                  <w:r>
                    <w:t>0.1</w:t>
                  </w:r>
                </w:p>
              </w:tc>
              <w:tc>
                <w:tcPr>
                  <w:tcW w:w="813" w:type="dxa"/>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干燥滚筒废气</w:t>
                  </w:r>
                </w:p>
              </w:tc>
              <w:tc>
                <w:tcPr>
                  <w:tcW w:w="4980" w:type="dxa"/>
                  <w:vMerge w:val="restart"/>
                  <w:shd w:val="clear" w:color="auto" w:fill="auto"/>
                  <w:vAlign w:val="center"/>
                </w:tcPr>
                <w:p>
                  <w:pPr>
                    <w:pStyle w:val="167"/>
                  </w:pPr>
                  <w:r>
                    <w:t>两级除尘系统（重力除尘器+大气反吹式除尘器）+15m高排气筒DA001</w:t>
                  </w:r>
                </w:p>
              </w:tc>
              <w:tc>
                <w:tcPr>
                  <w:tcW w:w="768" w:type="dxa"/>
                  <w:vMerge w:val="restart"/>
                  <w:shd w:val="clear" w:color="auto" w:fill="auto"/>
                  <w:vAlign w:val="center"/>
                </w:tcPr>
                <w:p>
                  <w:pPr>
                    <w:pStyle w:val="167"/>
                  </w:pPr>
                  <w:r>
                    <w:t>12</w:t>
                  </w:r>
                </w:p>
              </w:tc>
              <w:tc>
                <w:tcPr>
                  <w:tcW w:w="813" w:type="dxa"/>
                  <w:vMerge w:val="restart"/>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油气两用燃烧机燃烧废气</w:t>
                  </w:r>
                </w:p>
              </w:tc>
              <w:tc>
                <w:tcPr>
                  <w:tcW w:w="4980" w:type="dxa"/>
                  <w:vMerge w:val="continue"/>
                  <w:shd w:val="clear" w:color="auto" w:fill="auto"/>
                  <w:vAlign w:val="center"/>
                </w:tcPr>
                <w:p>
                  <w:pPr>
                    <w:pStyle w:val="167"/>
                  </w:pPr>
                </w:p>
              </w:tc>
              <w:tc>
                <w:tcPr>
                  <w:tcW w:w="768" w:type="dxa"/>
                  <w:vMerge w:val="continue"/>
                  <w:shd w:val="clear" w:color="auto" w:fill="auto"/>
                  <w:vAlign w:val="center"/>
                </w:tcPr>
                <w:p>
                  <w:pPr>
                    <w:pStyle w:val="167"/>
                  </w:pPr>
                </w:p>
              </w:tc>
              <w:tc>
                <w:tcPr>
                  <w:tcW w:w="813"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沥青烟气</w:t>
                  </w:r>
                </w:p>
              </w:tc>
              <w:tc>
                <w:tcPr>
                  <w:tcW w:w="4980" w:type="dxa"/>
                  <w:shd w:val="clear" w:color="auto" w:fill="auto"/>
                  <w:vAlign w:val="center"/>
                </w:tcPr>
                <w:p>
                  <w:pPr>
                    <w:pStyle w:val="167"/>
                  </w:pPr>
                  <w:r>
                    <w:t>“喷淋</w:t>
                  </w:r>
                  <w:r>
                    <w:cr/>
                  </w:r>
                  <w:r>
                    <w:t>+活性炭二级吸附装置”+15米高排气筒DA002</w:t>
                  </w:r>
                </w:p>
              </w:tc>
              <w:tc>
                <w:tcPr>
                  <w:tcW w:w="768" w:type="dxa"/>
                  <w:shd w:val="clear" w:color="auto" w:fill="auto"/>
                  <w:vAlign w:val="center"/>
                </w:tcPr>
                <w:p>
                  <w:pPr>
                    <w:pStyle w:val="167"/>
                  </w:pPr>
                  <w:r>
                    <w:t>8.0</w:t>
                  </w:r>
                </w:p>
              </w:tc>
              <w:tc>
                <w:tcPr>
                  <w:tcW w:w="813" w:type="dxa"/>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restart"/>
                  <w:shd w:val="clear" w:color="auto" w:fill="auto"/>
                  <w:vAlign w:val="center"/>
                </w:tcPr>
                <w:p>
                  <w:pPr>
                    <w:pStyle w:val="167"/>
                  </w:pPr>
                  <w:r>
                    <w:t>地表水环境</w:t>
                  </w:r>
                </w:p>
              </w:tc>
              <w:tc>
                <w:tcPr>
                  <w:tcW w:w="835" w:type="dxa"/>
                  <w:vMerge w:val="restart"/>
                  <w:vAlign w:val="center"/>
                </w:tcPr>
                <w:p>
                  <w:pPr>
                    <w:pStyle w:val="167"/>
                  </w:pPr>
                  <w:r>
                    <w:t>初期雨水</w:t>
                  </w:r>
                </w:p>
              </w:tc>
              <w:tc>
                <w:tcPr>
                  <w:tcW w:w="4980" w:type="dxa"/>
                  <w:shd w:val="clear" w:color="auto" w:fill="auto"/>
                  <w:vAlign w:val="center"/>
                </w:tcPr>
                <w:p>
                  <w:pPr>
                    <w:pStyle w:val="167"/>
                  </w:pPr>
                  <w:r>
                    <w:t>项目区四周修建雨水沟</w:t>
                  </w:r>
                </w:p>
              </w:tc>
              <w:tc>
                <w:tcPr>
                  <w:tcW w:w="768" w:type="dxa"/>
                  <w:shd w:val="clear" w:color="auto" w:fill="auto"/>
                  <w:vAlign w:val="center"/>
                </w:tcPr>
                <w:p>
                  <w:pPr>
                    <w:pStyle w:val="167"/>
                  </w:pPr>
                  <w:r>
                    <w:t>1.0</w:t>
                  </w:r>
                </w:p>
              </w:tc>
              <w:tc>
                <w:tcPr>
                  <w:tcW w:w="813" w:type="dxa"/>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Merge w:val="continue"/>
                  <w:vAlign w:val="center"/>
                </w:tcPr>
                <w:p>
                  <w:pPr>
                    <w:pStyle w:val="167"/>
                  </w:pPr>
                </w:p>
              </w:tc>
              <w:tc>
                <w:tcPr>
                  <w:tcW w:w="4980" w:type="dxa"/>
                  <w:shd w:val="clear" w:color="auto" w:fill="auto"/>
                  <w:vAlign w:val="center"/>
                </w:tcPr>
                <w:p>
                  <w:pPr>
                    <w:pStyle w:val="167"/>
                  </w:pPr>
                  <w:r>
                    <w:t>项目区东南侧修建一座30m³的初期雨水收集池</w:t>
                  </w:r>
                </w:p>
              </w:tc>
              <w:tc>
                <w:tcPr>
                  <w:tcW w:w="768" w:type="dxa"/>
                  <w:shd w:val="clear" w:color="auto" w:fill="auto"/>
                  <w:vAlign w:val="center"/>
                </w:tcPr>
                <w:p>
                  <w:pPr>
                    <w:pStyle w:val="167"/>
                  </w:pPr>
                  <w:r>
                    <w:t>2.0</w:t>
                  </w:r>
                </w:p>
              </w:tc>
              <w:tc>
                <w:tcPr>
                  <w:tcW w:w="813" w:type="dxa"/>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喷淋塔循环废水</w:t>
                  </w:r>
                </w:p>
              </w:tc>
              <w:tc>
                <w:tcPr>
                  <w:tcW w:w="4980" w:type="dxa"/>
                  <w:shd w:val="clear" w:color="auto" w:fill="auto"/>
                  <w:vAlign w:val="center"/>
                </w:tcPr>
                <w:p>
                  <w:pPr>
                    <w:pStyle w:val="167"/>
                  </w:pPr>
                  <w:r>
                    <w:t>设置2m³废水储存罐1只</w:t>
                  </w:r>
                </w:p>
              </w:tc>
              <w:tc>
                <w:tcPr>
                  <w:tcW w:w="768" w:type="dxa"/>
                  <w:shd w:val="clear" w:color="auto" w:fill="auto"/>
                  <w:vAlign w:val="center"/>
                </w:tcPr>
                <w:p>
                  <w:pPr>
                    <w:pStyle w:val="167"/>
                  </w:pPr>
                  <w:r>
                    <w:t>0.1</w:t>
                  </w:r>
                </w:p>
              </w:tc>
              <w:tc>
                <w:tcPr>
                  <w:tcW w:w="813" w:type="dxa"/>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shd w:val="clear" w:color="auto" w:fill="auto"/>
                  <w:vAlign w:val="center"/>
                </w:tcPr>
                <w:p>
                  <w:pPr>
                    <w:pStyle w:val="167"/>
                  </w:pPr>
                  <w:r>
                    <w:t>声环境</w:t>
                  </w:r>
                </w:p>
              </w:tc>
              <w:tc>
                <w:tcPr>
                  <w:tcW w:w="835" w:type="dxa"/>
                  <w:vAlign w:val="center"/>
                </w:tcPr>
                <w:p>
                  <w:pPr>
                    <w:pStyle w:val="167"/>
                  </w:pPr>
                  <w:r>
                    <w:t>设备噪声</w:t>
                  </w:r>
                </w:p>
              </w:tc>
              <w:tc>
                <w:tcPr>
                  <w:tcW w:w="4980" w:type="dxa"/>
                  <w:shd w:val="clear" w:color="auto" w:fill="auto"/>
                  <w:vAlign w:val="center"/>
                </w:tcPr>
                <w:p>
                  <w:pPr>
                    <w:pStyle w:val="167"/>
                  </w:pPr>
                  <w:r>
                    <w:t>大型噪声设备装设减震垫</w:t>
                  </w:r>
                </w:p>
              </w:tc>
              <w:tc>
                <w:tcPr>
                  <w:tcW w:w="768" w:type="dxa"/>
                  <w:shd w:val="clear" w:color="auto" w:fill="auto"/>
                  <w:vAlign w:val="center"/>
                </w:tcPr>
                <w:p>
                  <w:pPr>
                    <w:pStyle w:val="167"/>
                  </w:pPr>
                  <w:r>
                    <w:t>0.2</w:t>
                  </w:r>
                </w:p>
              </w:tc>
              <w:tc>
                <w:tcPr>
                  <w:tcW w:w="813" w:type="dxa"/>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blHeader/>
              </w:trPr>
              <w:tc>
                <w:tcPr>
                  <w:tcW w:w="470" w:type="dxa"/>
                  <w:vMerge w:val="continue"/>
                  <w:shd w:val="clear" w:color="auto" w:fill="auto"/>
                  <w:vAlign w:val="center"/>
                </w:tcPr>
                <w:p>
                  <w:pPr>
                    <w:pStyle w:val="167"/>
                  </w:pPr>
                </w:p>
              </w:tc>
              <w:tc>
                <w:tcPr>
                  <w:tcW w:w="514" w:type="dxa"/>
                  <w:vMerge w:val="restart"/>
                  <w:shd w:val="clear" w:color="auto" w:fill="auto"/>
                  <w:vAlign w:val="center"/>
                </w:tcPr>
                <w:p>
                  <w:pPr>
                    <w:pStyle w:val="167"/>
                  </w:pPr>
                  <w:r>
                    <w:t>固废</w:t>
                  </w:r>
                </w:p>
              </w:tc>
              <w:tc>
                <w:tcPr>
                  <w:tcW w:w="835" w:type="dxa"/>
                  <w:vAlign w:val="center"/>
                </w:tcPr>
                <w:p>
                  <w:pPr>
                    <w:pStyle w:val="167"/>
                  </w:pPr>
                  <w:r>
                    <w:t>废导热油</w:t>
                  </w:r>
                </w:p>
              </w:tc>
              <w:tc>
                <w:tcPr>
                  <w:tcW w:w="4980" w:type="dxa"/>
                  <w:vMerge w:val="restart"/>
                  <w:shd w:val="clear" w:color="auto" w:fill="auto"/>
                  <w:vAlign w:val="center"/>
                </w:tcPr>
                <w:p>
                  <w:pPr>
                    <w:pStyle w:val="167"/>
                  </w:pPr>
                  <w:r>
                    <w:rPr>
                      <w:szCs w:val="21"/>
                    </w:rPr>
                    <w:t>危险废物暂存间1间，位于沥青搅拌楼北侧，1F，砖混结构，</w:t>
                  </w:r>
                  <w:r>
                    <w:rPr>
                      <w:szCs w:val="21"/>
                      <w:lang w:bidi="ar"/>
                    </w:rPr>
                    <w:t>建筑面积5㎡，</w:t>
                  </w:r>
                  <w:r>
                    <w:rPr>
                      <w:szCs w:val="21"/>
                    </w:rPr>
                    <w:t>分为废矿物油（废润滑油、导热油）暂存区和其他危险废物暂存区。废矿物油（废润滑油、导热油）暂存区设置防渗托盘，并设置30cm高围堰，围堰容积约为0.9m³；地面与裙脚采用抗渗混凝土、高密度聚乙烯膜、钠基膨润土防水毯或其他防渗性能等效的材料；地面基础防渗，防渗层为至少1m厚黏层（渗透系数不大于10</w:t>
                  </w:r>
                  <w:r>
                    <w:rPr>
                      <w:szCs w:val="21"/>
                      <w:vertAlign w:val="superscript"/>
                    </w:rPr>
                    <w:t>-7</w:t>
                  </w:r>
                  <w:r>
                    <w:rPr>
                      <w:szCs w:val="21"/>
                    </w:rPr>
                    <w:t>cm/s），或采用至少2mm厚高密度聚乙烯膜等人工防渗材料（渗透系数不大于10</w:t>
                  </w:r>
                  <w:r>
                    <w:rPr>
                      <w:szCs w:val="21"/>
                      <w:vertAlign w:val="superscript"/>
                    </w:rPr>
                    <w:t xml:space="preserve">-10 </w:t>
                  </w:r>
                  <w:r>
                    <w:rPr>
                      <w:szCs w:val="21"/>
                    </w:rPr>
                    <w:t>cm/s）或其他防渗性能等效的材料。或参照GB18597执行。</w:t>
                  </w:r>
                  <w:r>
                    <w:t>配套2个危险废物专用收集容器，用于危险废物暂存。</w:t>
                  </w:r>
                </w:p>
              </w:tc>
              <w:tc>
                <w:tcPr>
                  <w:tcW w:w="768" w:type="dxa"/>
                  <w:vMerge w:val="restart"/>
                  <w:shd w:val="clear" w:color="auto" w:fill="auto"/>
                  <w:vAlign w:val="center"/>
                </w:tcPr>
                <w:p>
                  <w:pPr>
                    <w:pStyle w:val="167"/>
                  </w:pPr>
                  <w:r>
                    <w:t>5.0</w:t>
                  </w:r>
                </w:p>
              </w:tc>
              <w:tc>
                <w:tcPr>
                  <w:tcW w:w="813" w:type="dxa"/>
                  <w:vMerge w:val="restart"/>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废润滑油</w:t>
                  </w:r>
                </w:p>
              </w:tc>
              <w:tc>
                <w:tcPr>
                  <w:tcW w:w="4980" w:type="dxa"/>
                  <w:vMerge w:val="continue"/>
                  <w:shd w:val="clear" w:color="auto" w:fill="auto"/>
                  <w:vAlign w:val="center"/>
                </w:tcPr>
                <w:p>
                  <w:pPr>
                    <w:pStyle w:val="167"/>
                  </w:pPr>
                </w:p>
              </w:tc>
              <w:tc>
                <w:tcPr>
                  <w:tcW w:w="768" w:type="dxa"/>
                  <w:vMerge w:val="continue"/>
                  <w:shd w:val="clear" w:color="auto" w:fill="auto"/>
                  <w:vAlign w:val="center"/>
                </w:tcPr>
                <w:p>
                  <w:pPr>
                    <w:pStyle w:val="167"/>
                  </w:pPr>
                </w:p>
              </w:tc>
              <w:tc>
                <w:tcPr>
                  <w:tcW w:w="813"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废活性炭</w:t>
                  </w:r>
                </w:p>
              </w:tc>
              <w:tc>
                <w:tcPr>
                  <w:tcW w:w="4980" w:type="dxa"/>
                  <w:vMerge w:val="continue"/>
                  <w:shd w:val="clear" w:color="auto" w:fill="auto"/>
                  <w:vAlign w:val="center"/>
                </w:tcPr>
                <w:p>
                  <w:pPr>
                    <w:pStyle w:val="167"/>
                  </w:pPr>
                </w:p>
              </w:tc>
              <w:tc>
                <w:tcPr>
                  <w:tcW w:w="768" w:type="dxa"/>
                  <w:vMerge w:val="continue"/>
                  <w:shd w:val="clear" w:color="auto" w:fill="auto"/>
                  <w:vAlign w:val="center"/>
                </w:tcPr>
                <w:p>
                  <w:pPr>
                    <w:pStyle w:val="167"/>
                  </w:pPr>
                </w:p>
              </w:tc>
              <w:tc>
                <w:tcPr>
                  <w:tcW w:w="813"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含油手套、抹布</w:t>
                  </w:r>
                </w:p>
              </w:tc>
              <w:tc>
                <w:tcPr>
                  <w:tcW w:w="4980" w:type="dxa"/>
                  <w:vMerge w:val="restart"/>
                  <w:shd w:val="clear" w:color="auto" w:fill="auto"/>
                  <w:vAlign w:val="center"/>
                </w:tcPr>
                <w:p>
                  <w:pPr>
                    <w:pStyle w:val="167"/>
                  </w:pPr>
                  <w:r>
                    <w:t>垃圾收集桶2个，统一收集后定期清运至团结乡垃圾收集点</w:t>
                  </w:r>
                </w:p>
              </w:tc>
              <w:tc>
                <w:tcPr>
                  <w:tcW w:w="768" w:type="dxa"/>
                  <w:vMerge w:val="restart"/>
                  <w:shd w:val="clear" w:color="auto" w:fill="auto"/>
                  <w:vAlign w:val="center"/>
                </w:tcPr>
                <w:p>
                  <w:pPr>
                    <w:pStyle w:val="167"/>
                  </w:pPr>
                  <w:r>
                    <w:t>0.1</w:t>
                  </w:r>
                </w:p>
              </w:tc>
              <w:tc>
                <w:tcPr>
                  <w:tcW w:w="813" w:type="dxa"/>
                  <w:vMerge w:val="restart"/>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vMerge w:val="continue"/>
                  <w:shd w:val="clear" w:color="auto" w:fill="auto"/>
                  <w:vAlign w:val="center"/>
                </w:tcPr>
                <w:p>
                  <w:pPr>
                    <w:pStyle w:val="167"/>
                  </w:pPr>
                </w:p>
              </w:tc>
              <w:tc>
                <w:tcPr>
                  <w:tcW w:w="835" w:type="dxa"/>
                  <w:vAlign w:val="center"/>
                </w:tcPr>
                <w:p>
                  <w:pPr>
                    <w:pStyle w:val="167"/>
                  </w:pPr>
                  <w:r>
                    <w:t>生</w:t>
                  </w:r>
                  <w:r>
                    <w:cr/>
                  </w:r>
                  <w:r>
                    <w:t>垃圾</w:t>
                  </w:r>
                </w:p>
              </w:tc>
              <w:tc>
                <w:tcPr>
                  <w:tcW w:w="4980" w:type="dxa"/>
                  <w:vMerge w:val="continue"/>
                  <w:shd w:val="clear" w:color="auto" w:fill="auto"/>
                  <w:vAlign w:val="center"/>
                </w:tcPr>
                <w:p>
                  <w:pPr>
                    <w:pStyle w:val="167"/>
                  </w:pPr>
                </w:p>
              </w:tc>
              <w:tc>
                <w:tcPr>
                  <w:tcW w:w="768" w:type="dxa"/>
                  <w:vMerge w:val="continue"/>
                  <w:shd w:val="clear" w:color="auto" w:fill="auto"/>
                  <w:vAlign w:val="center"/>
                </w:tcPr>
                <w:p>
                  <w:pPr>
                    <w:pStyle w:val="167"/>
                  </w:pPr>
                </w:p>
              </w:tc>
              <w:tc>
                <w:tcPr>
                  <w:tcW w:w="813"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shd w:val="clear" w:color="auto" w:fill="auto"/>
                  <w:vAlign w:val="center"/>
                </w:tcPr>
                <w:p>
                  <w:pPr>
                    <w:pStyle w:val="167"/>
                  </w:pPr>
                  <w:r>
                    <w:t>地下水环境</w:t>
                  </w:r>
                </w:p>
              </w:tc>
              <w:tc>
                <w:tcPr>
                  <w:tcW w:w="835" w:type="dxa"/>
                  <w:vAlign w:val="center"/>
                </w:tcPr>
                <w:p>
                  <w:pPr>
                    <w:pStyle w:val="167"/>
                  </w:pPr>
                  <w:r>
                    <w:t>分区防渗措施</w:t>
                  </w:r>
                </w:p>
              </w:tc>
              <w:tc>
                <w:tcPr>
                  <w:tcW w:w="4980" w:type="dxa"/>
                  <w:shd w:val="clear" w:color="auto" w:fill="auto"/>
                  <w:vAlign w:val="center"/>
                </w:tcPr>
                <w:p>
                  <w:pPr>
                    <w:pStyle w:val="167"/>
                  </w:pPr>
                  <w:r>
                    <w:t>重点防渗区：危险废物暂存间地面与裙脚采用抗渗混凝土、高密度聚乙烯膜、钠基膨润土防水毯或其他防渗性能等效的材料；地面基础防渗，防渗层为至少1m厚黏层（渗透系数不大于10</w:t>
                  </w:r>
                  <w:r>
                    <w:rPr>
                      <w:vertAlign w:val="superscript"/>
                    </w:rPr>
                    <w:t>-7</w:t>
                  </w:r>
                  <w:r>
                    <w:t>cm/s），或采用至少2mm 厚高密度聚乙烯膜等人工防渗材料（渗透系数不大于10</w:t>
                  </w:r>
                  <w:r>
                    <w:rPr>
                      <w:vertAlign w:val="superscript"/>
                    </w:rPr>
                    <w:t xml:space="preserve">-10 </w:t>
                  </w:r>
                  <w:r>
                    <w:t>cm/s）或其他防渗性能等效的材料。或参照GB18597执行。</w:t>
                  </w:r>
                </w:p>
                <w:p>
                  <w:pPr>
                    <w:pStyle w:val="167"/>
                    <w:rPr>
                      <w:szCs w:val="21"/>
                    </w:rPr>
                  </w:pPr>
                  <w:r>
                    <w:rPr>
                      <w:szCs w:val="21"/>
                    </w:rPr>
                    <w:t>柴油储罐罐区设置长4m、宽2.5m、高0.6m，容积6m³（约5.22t）的围堰；沥青储罐区设置长15m、宽4m、高0.7m，容积42m³（约50.4t）的围堰；储罐区地面及围堰并采用耐磨、防腐、防渗的人工涂料进行防渗处置。防渗技术要求：等效黏土防渗层Mb≥6.0m，K≤1×10-7cm/s；或参照GB18597执行；</w:t>
                  </w:r>
                </w:p>
                <w:p>
                  <w:pPr>
                    <w:pStyle w:val="167"/>
                  </w:pPr>
                  <w:r>
                    <w:t>一般防渗区：初期雨水收集池，采用高强度混凝土建设，结构厚度不应小于100mm，混凝土抗渗等级不应低于P6。防渗技术要求：等效黏土防渗层Mb&gt;1.5m，K≤1.0x10-7cm/s；或参照GB16889执行。</w:t>
                  </w:r>
                </w:p>
                <w:p>
                  <w:pPr>
                    <w:pStyle w:val="167"/>
                  </w:pPr>
                  <w:r>
                    <w:rPr>
                      <w:lang w:bidi="ar"/>
                    </w:rPr>
                    <w:t>简单防渗区：除了重点、一般防渗区以外的区域进行简单硬化处理</w:t>
                  </w:r>
                </w:p>
              </w:tc>
              <w:tc>
                <w:tcPr>
                  <w:tcW w:w="768" w:type="dxa"/>
                  <w:shd w:val="clear" w:color="auto" w:fill="auto"/>
                  <w:vAlign w:val="center"/>
                </w:tcPr>
                <w:p>
                  <w:pPr>
                    <w:pStyle w:val="167"/>
                  </w:pPr>
                  <w:r>
                    <w:t>6</w:t>
                  </w:r>
                </w:p>
              </w:tc>
              <w:tc>
                <w:tcPr>
                  <w:tcW w:w="813" w:type="dxa"/>
                  <w:shd w:val="clear" w:color="auto" w:fill="auto"/>
                  <w:vAlign w:val="center"/>
                </w:tcPr>
                <w:p>
                  <w:pPr>
                    <w:pStyle w:val="167"/>
                  </w:pPr>
                  <w: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0" w:type="dxa"/>
                  <w:vMerge w:val="continue"/>
                  <w:shd w:val="clear" w:color="auto" w:fill="auto"/>
                  <w:vAlign w:val="center"/>
                </w:tcPr>
                <w:p>
                  <w:pPr>
                    <w:pStyle w:val="167"/>
                  </w:pPr>
                </w:p>
              </w:tc>
              <w:tc>
                <w:tcPr>
                  <w:tcW w:w="514" w:type="dxa"/>
                  <w:shd w:val="clear" w:color="auto" w:fill="auto"/>
                  <w:vAlign w:val="center"/>
                </w:tcPr>
                <w:p>
                  <w:pPr>
                    <w:pStyle w:val="167"/>
                  </w:pPr>
                  <w:r>
                    <w:t>环境风险</w:t>
                  </w:r>
                </w:p>
              </w:tc>
              <w:tc>
                <w:tcPr>
                  <w:tcW w:w="5815" w:type="dxa"/>
                  <w:gridSpan w:val="2"/>
                  <w:vAlign w:val="center"/>
                </w:tcPr>
                <w:p>
                  <w:pPr>
                    <w:pStyle w:val="167"/>
                  </w:pPr>
                  <w:r>
                    <w:t>与持有相关危险废物经营许可证的单位危险废物处置协议；按照HJ1276—2022要求设置危险废物暂存间暂存区标识和危险废物标签</w:t>
                  </w:r>
                </w:p>
              </w:tc>
              <w:tc>
                <w:tcPr>
                  <w:tcW w:w="768" w:type="dxa"/>
                  <w:shd w:val="clear" w:color="auto" w:fill="auto"/>
                  <w:vAlign w:val="center"/>
                </w:tcPr>
                <w:p>
                  <w:pPr>
                    <w:pStyle w:val="167"/>
                  </w:pPr>
                  <w:r>
                    <w:t>0.5</w:t>
                  </w:r>
                </w:p>
              </w:tc>
              <w:tc>
                <w:tcPr>
                  <w:tcW w:w="813" w:type="dxa"/>
                  <w:shd w:val="clear" w:color="auto" w:fill="auto"/>
                  <w:vAlign w:val="center"/>
                </w:tcPr>
                <w:p>
                  <w:pPr>
                    <w:pStyle w:val="167"/>
                  </w:pPr>
                  <w: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6799" w:type="dxa"/>
                  <w:gridSpan w:val="4"/>
                  <w:vAlign w:val="center"/>
                </w:tcPr>
                <w:p>
                  <w:pPr>
                    <w:pStyle w:val="167"/>
                  </w:pPr>
                  <w:r>
                    <w:t>合计</w:t>
                  </w:r>
                </w:p>
              </w:tc>
              <w:tc>
                <w:tcPr>
                  <w:tcW w:w="768" w:type="dxa"/>
                  <w:shd w:val="clear" w:color="auto" w:fill="auto"/>
                  <w:vAlign w:val="center"/>
                </w:tcPr>
                <w:p>
                  <w:pPr>
                    <w:pStyle w:val="167"/>
                  </w:pPr>
                  <w:r>
                    <w:t>43.6</w:t>
                  </w:r>
                </w:p>
              </w:tc>
              <w:tc>
                <w:tcPr>
                  <w:tcW w:w="813" w:type="dxa"/>
                  <w:shd w:val="clear" w:color="auto" w:fill="auto"/>
                  <w:vAlign w:val="center"/>
                </w:tcPr>
                <w:p>
                  <w:pPr>
                    <w:pStyle w:val="167"/>
                  </w:pPr>
                  <w:r>
                    <w:t>/</w:t>
                  </w:r>
                </w:p>
              </w:tc>
            </w:tr>
          </w:tbl>
          <w:p>
            <w:pPr>
              <w:pStyle w:val="108"/>
              <w:rPr>
                <w:color w:val="auto"/>
              </w:rPr>
            </w:pPr>
            <w:r>
              <w:rPr>
                <w:color w:val="auto"/>
              </w:rPr>
              <w:t>2.1.9总平面布置</w:t>
            </w:r>
          </w:p>
          <w:p>
            <w:pPr>
              <w:pStyle w:val="147"/>
            </w:pPr>
            <w:r>
              <w:t>根据现场调查，云龙公路分局沥青拌合站新建项目占地面积为2556㎡，整体呈矩形状；具体工程布置如下：项目不设置办公生活区、骨料和粉料堆场。项目主要生产区域布置于项目区中间区域和东北侧，沥青混合搅拌楼位于项目区中间区域，皮带给料器（料斗）和快速进料皮带机设置于项目区东北侧位于项目下风向，操控室设置于项目区西南侧位于项目上风向，危险废物暂存间位于项目区东南侧位于项目区侧风向，柴油储罐设置于项目区东侧，排气筒DA001和DA002设置于项目区东南侧位于侧风向。初期雨水收集池设置于项目区东南侧低洼处，可有效收集雨天初期雨水。</w:t>
            </w:r>
          </w:p>
          <w:p>
            <w:pPr>
              <w:pStyle w:val="139"/>
              <w:ind w:firstLine="480"/>
            </w:pPr>
            <w:r>
              <w:t>本项目平面布置图见附图4-1。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 w:type="dxa"/>
            <w:vAlign w:val="center"/>
          </w:tcPr>
          <w:p>
            <w:pPr>
              <w:pStyle w:val="24"/>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8606" w:type="dxa"/>
          </w:tcPr>
          <w:p>
            <w:pPr>
              <w:pStyle w:val="108"/>
              <w:ind w:firstLine="482"/>
              <w:rPr>
                <w:color w:val="auto"/>
              </w:rPr>
            </w:pPr>
            <w:bookmarkStart w:id="12" w:name="_Toc16932"/>
            <w:r>
              <w:rPr>
                <w:color w:val="auto"/>
              </w:rPr>
              <w:t>2.2工艺流程和产排污环节</w:t>
            </w:r>
          </w:p>
          <w:p>
            <w:pPr>
              <w:pStyle w:val="111"/>
            </w:pPr>
            <w:r>
              <w:t>2.2.1施工期工艺流程和产排污节点</w:t>
            </w:r>
          </w:p>
          <w:p>
            <w:pPr>
              <w:pStyle w:val="139"/>
              <w:ind w:firstLine="480"/>
            </w:pPr>
            <w:r>
              <w:t>1、施工主要工作内容</w:t>
            </w:r>
          </w:p>
          <w:p>
            <w:pPr>
              <w:pStyle w:val="139"/>
              <w:ind w:firstLine="480"/>
            </w:pPr>
            <w:r>
              <w:t>云龙公路局沥青拌合站项目于2016年5月建设完成并投产运行。现阶段主要按照本评价提出的整改措施对现有工程进行整改建设。项目施工周期短，施工人员不在场地内食宿。施工期产生的污染物主要为少量粉尘、施工人员生活废水、施工噪声以及废弃包装材料、生活垃圾等。施工期工艺流程及产污情况如下。</w:t>
            </w:r>
          </w:p>
          <w:p>
            <w:pPr>
              <w:pStyle w:val="139"/>
              <w:ind w:firstLine="480"/>
            </w:pPr>
            <w:r>
              <w:t>2、施工组织安排</w:t>
            </w:r>
          </w:p>
          <w:p>
            <w:pPr>
              <w:pStyle w:val="139"/>
              <w:ind w:firstLine="480"/>
            </w:pPr>
            <w:r>
              <w:t>项目施工人员约为10人，施工人员为当地村民，施工场地内不设置施工生活营地。</w:t>
            </w:r>
          </w:p>
          <w:p>
            <w:pPr>
              <w:pStyle w:val="139"/>
              <w:ind w:firstLine="480"/>
            </w:pPr>
            <w:r>
              <w:t>3、产污环节分析</w:t>
            </w:r>
          </w:p>
          <w:p>
            <w:pPr>
              <w:pStyle w:val="139"/>
              <w:ind w:firstLine="480"/>
            </w:pPr>
            <w:r>
              <w:t>本项目施工期主要包括柴油储罐及沥青储罐区围堰建设、项目区进场道路硬化。施工工艺流程图及产污环节图见图2-4。</w:t>
            </w:r>
          </w:p>
          <w:p>
            <w:pPr>
              <w:pStyle w:val="24"/>
              <w:adjustRightInd w:val="0"/>
              <w:snapToGrid w:val="0"/>
              <w:spacing w:before="0" w:beforeAutospacing="0" w:after="0" w:afterAutospacing="0" w:line="360" w:lineRule="auto"/>
              <w:ind w:firstLine="480" w:firstLineChars="200"/>
              <w:jc w:val="center"/>
              <w:rPr>
                <w:rFonts w:ascii="Times New Roman" w:hAnsi="Times New Roman"/>
              </w:rPr>
            </w:pPr>
            <w:r>
              <w:rPr>
                <w:rFonts w:ascii="Times New Roman" w:hAnsi="Times New Roman"/>
              </w:rPr>
              <w:object>
                <v:shape id="_x0000_i1028" o:spt="75" type="#_x0000_t75" style="height:121.05pt;width:380.3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pStyle w:val="168"/>
              <w:rPr>
                <w:szCs w:val="21"/>
              </w:rPr>
            </w:pPr>
            <w:r>
              <w:rPr>
                <w:rStyle w:val="117"/>
                <w:b/>
                <w:bCs w:val="0"/>
              </w:rPr>
              <w:t>图2-4   施工期工艺流程及产污环节示意图</w:t>
            </w:r>
          </w:p>
          <w:p>
            <w:pPr>
              <w:pStyle w:val="139"/>
              <w:ind w:firstLine="480"/>
            </w:pPr>
            <w:r>
              <w:t>项目建设过程中，基础开挖以人力施工为主，主要使用破碎锤、锄头、铁锹、板车等；</w:t>
            </w:r>
          </w:p>
          <w:p>
            <w:pPr>
              <w:pStyle w:val="139"/>
              <w:ind w:firstLine="480"/>
            </w:pPr>
            <w:r>
              <w:t>本项目施工过程中产生的主要污染物为废气（扬尘、汽车尾气、涂料挥发的有机废气等）、施工机械和运输车辆产生的噪声、施工及施工人员产生的废水、建筑垃圾及弃渣土等固体废物。</w:t>
            </w:r>
          </w:p>
          <w:p>
            <w:pPr>
              <w:pStyle w:val="111"/>
              <w:rPr>
                <w:kern w:val="0"/>
                <w:szCs w:val="21"/>
              </w:rPr>
            </w:pPr>
            <w:r>
              <w:rPr>
                <w:kern w:val="0"/>
                <w:szCs w:val="21"/>
              </w:rPr>
              <w:t>2.2.2</w:t>
            </w:r>
            <w:r>
              <w:t>运营期工艺流程和产排污节点</w:t>
            </w:r>
          </w:p>
          <w:p>
            <w:pPr>
              <w:pStyle w:val="111"/>
            </w:pPr>
            <w:r>
              <w:t>1、运营期工艺流程</w:t>
            </w:r>
          </w:p>
          <w:p>
            <w:pPr>
              <w:pStyle w:val="139"/>
              <w:ind w:firstLine="480"/>
            </w:pPr>
            <w:r>
              <w:t>项目主要生产沥青混凝土，生产工艺及产排污节点如下图所示：</w:t>
            </w:r>
          </w:p>
          <w:p>
            <w:pPr>
              <w:pStyle w:val="151"/>
              <w:rPr>
                <w:color w:val="auto"/>
              </w:rPr>
            </w:pPr>
            <w:r>
              <w:rPr>
                <w:color w:val="auto"/>
              </w:rPr>
              <w:object>
                <v:shape id="_x0000_i1029" o:spt="75" type="#_x0000_t75" style="height:326.4pt;width:423.4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r>
              <w:rPr>
                <w:rStyle w:val="170"/>
                <w:b/>
                <w:bCs w:val="0"/>
                <w:color w:val="auto"/>
              </w:rPr>
              <w:t>图2-5   项目沥青混凝土生产工艺流程及产排污节点图</w:t>
            </w:r>
          </w:p>
          <w:p>
            <w:pPr>
              <w:pStyle w:val="111"/>
            </w:pPr>
            <w:r>
              <w:t>2、工艺流程简述：</w:t>
            </w:r>
          </w:p>
          <w:p>
            <w:pPr>
              <w:pStyle w:val="139"/>
              <w:ind w:firstLine="480"/>
            </w:pPr>
            <w:r>
              <w:t>a、生产工艺流程</w:t>
            </w:r>
          </w:p>
          <w:p>
            <w:pPr>
              <w:pStyle w:val="139"/>
              <w:ind w:firstLine="480"/>
              <w:rPr>
                <w:snapToGrid w:val="0"/>
              </w:rPr>
            </w:pPr>
            <w:r>
              <w:rPr>
                <w:snapToGrid w:val="0"/>
              </w:rPr>
              <w:t>沥青混凝土由石油沥青和骨料（碎石、砂料）及粉料混合拌制而成。其一般流程可分为沥青预处理和骨料预处理工序，而后进入搅拌缸拌合后即成为成品。</w:t>
            </w:r>
          </w:p>
          <w:p>
            <w:pPr>
              <w:pStyle w:val="139"/>
              <w:ind w:firstLine="480"/>
              <w:rPr>
                <w:snapToGrid w:val="0"/>
              </w:rPr>
            </w:pPr>
            <w:r>
              <w:rPr>
                <w:rFonts w:hint="eastAsia" w:ascii="宋体" w:hAnsi="宋体" w:cs="宋体"/>
                <w:snapToGrid w:val="0"/>
              </w:rPr>
              <w:t>①</w:t>
            </w:r>
            <w:r>
              <w:rPr>
                <w:snapToGrid w:val="0"/>
              </w:rPr>
              <w:t>骨料预处理</w:t>
            </w:r>
          </w:p>
          <w:p>
            <w:pPr>
              <w:pStyle w:val="139"/>
              <w:ind w:firstLine="480"/>
            </w:pPr>
            <w:r>
              <w:t>满足产品需要规格骨料</w:t>
            </w:r>
            <w:r>
              <w:rPr>
                <w:rStyle w:val="140"/>
              </w:rPr>
              <w:t>云龙公路分局河南石料场公路养护配套改扩建项目</w:t>
            </w:r>
            <w:r>
              <w:t>物料堆棚以装载机送入骨料斗，由料斗底部放料阀放至运输皮带，然后通过皮带机自动进料。为使沥青混凝土产品不至于因过快冷却而带来运输上的不便，骨料在混入沥青前也要经过热处理。骨料由皮带输送机送入烘干筒，在其中不断加热，烘干筒不停转动，以使骨料受热均匀，并加热至160℃~180℃，干燥滚筒内为逆流干燥方式（干燥工艺为柴油燃烧烘干），将骨料干燥至含水率0.5%以下。随后，加热好的石料通过骨料提升机送到热骨料仓内，经计量后送入封闭式拌合缸。在此过程中将会有一定量的烟尘、S0</w:t>
            </w:r>
            <w:r>
              <w:rPr>
                <w:sz w:val="22"/>
                <w:vertAlign w:val="subscript"/>
              </w:rPr>
              <w:t>2</w:t>
            </w:r>
            <w:r>
              <w:t>、NOx及设备噪声产生。</w:t>
            </w:r>
          </w:p>
          <w:p>
            <w:pPr>
              <w:pStyle w:val="139"/>
              <w:ind w:firstLine="480"/>
            </w:pPr>
            <w:r>
              <w:rPr>
                <w:rFonts w:hint="eastAsia" w:ascii="宋体" w:hAnsi="宋体" w:cs="宋体"/>
              </w:rPr>
              <w:t>②</w:t>
            </w:r>
            <w:r>
              <w:t>沥青预处理</w:t>
            </w:r>
          </w:p>
          <w:p>
            <w:pPr>
              <w:pStyle w:val="139"/>
              <w:ind w:firstLine="480"/>
            </w:pPr>
            <w:r>
              <w:t>项目采用电加热器加热导热油管以加热导热油，形成热油，再由热油对沥青罐的沥青进行间接加热，冷却的导热油经过循环回油盘再进行加热升温，从而实现利用导热油间接加热方式进行沥青加热。项目对沥青储罐进行保温暂存，温度控制在80～120℃，以确保沥青为可流动的液体态，需要进入搅拌缸时，对沥青进行加热升温，温度控制在140～160℃，以确保沥青成为可流动的高温液体，以便于计量输送到搅拌缸进行沥青混凝土搅拌，升温之后的沥青采用专用的沥青计量泵进行计量输送，采用密闭管道将其送入以封闭式搅拌缸，以便于进行沥青混凝土搅拌。在此过程中将会产生少量的沥青废气产生，主要包含沥青烟、苯并[a]芘和挥发性有机物（以非甲烷总烃计）。</w:t>
            </w:r>
          </w:p>
          <w:p>
            <w:pPr>
              <w:pStyle w:val="139"/>
              <w:ind w:firstLine="480"/>
            </w:pPr>
            <w:r>
              <w:rPr>
                <w:rFonts w:hint="eastAsia" w:ascii="宋体" w:hAnsi="宋体" w:cs="宋体"/>
              </w:rPr>
              <w:t>③</w:t>
            </w:r>
            <w:r>
              <w:t>搅拌</w:t>
            </w:r>
          </w:p>
          <w:p>
            <w:pPr>
              <w:pStyle w:val="139"/>
              <w:ind w:firstLine="480"/>
            </w:pPr>
            <w:r>
              <w:t>项目按一定的配比称量计重后碎石、粉料和沥青送到搅拌缸之后，在密闭状态下由搅拌缸进行拌合，以生产成品沥青混凝土。由于石油沥青为液态，与砂石料混合后方进行拌合，故后续搅拌过程中无粉尘产生。搅拌时会有设备噪声、沥青烟气、苯并[a]芘废气等产生，其中的沥青烟气、苯并[a]芘和挥发性有机物等废气为极少量的；搅拌缸为封闭结构，其废气排放主要于卸料口卸料环节。</w:t>
            </w:r>
          </w:p>
          <w:p>
            <w:pPr>
              <w:pStyle w:val="139"/>
              <w:ind w:firstLine="480"/>
            </w:pPr>
            <w:r>
              <w:rPr>
                <w:rFonts w:hint="eastAsia" w:ascii="宋体" w:hAnsi="宋体" w:cs="宋体"/>
              </w:rPr>
              <w:t>④</w:t>
            </w:r>
            <w:r>
              <w:t>放料入车</w:t>
            </w:r>
          </w:p>
          <w:p>
            <w:pPr>
              <w:pStyle w:val="139"/>
              <w:ind w:firstLine="480"/>
            </w:pPr>
            <w:r>
              <w:t>本项目的成品沥青混凝土仓中混凝土由搅拌楼出料口放料到沥青砼运输车，沥青砼运输车位于搅拌楼下部，成品沥青混凝土依靠重力即可落入沥青砼运输车车厢内。本项目搅拌楼的底部设有专用的出料口，封闭式出料廊道上方连接出料趟口，下方正对沥青砼运输车车厢。针对成品沥青混凝土放料入车排放的沥青烟气、苯并[a]芘等废气，搅拌机出料口废气采用集气罩对其进行收集。</w:t>
            </w:r>
          </w:p>
          <w:p>
            <w:pPr>
              <w:pStyle w:val="111"/>
            </w:pPr>
            <w:r>
              <w:t>b、污染治理设施工艺：</w:t>
            </w:r>
          </w:p>
          <w:p>
            <w:pPr>
              <w:pStyle w:val="139"/>
              <w:ind w:firstLine="480"/>
            </w:pPr>
            <w:r>
              <w:t>项目营运期骨料预处理工序废气经两级除尘系统（重力除尘+大气反吹式布袋除尘器结合）处理后通过15m高排气筒DA001有组织排放。沥青预处理工序废气经沥青储存罐呼吸孔设置排气烟道收集，搅拌工序、放料工序废气经搅拌机卸料口设置集气罩收集，收集后的有机废气和沥青烟气经“喷淋塔+活性炭二级吸附装置”处理后通过15高排气筒DA002有组织排放。</w:t>
            </w:r>
          </w:p>
          <w:bookmarkEnd w:id="12"/>
          <w:p>
            <w:pPr>
              <w:pStyle w:val="111"/>
            </w:pPr>
            <w:r>
              <w:t>3、项目其他产污环节分析</w:t>
            </w:r>
          </w:p>
          <w:p>
            <w:pPr>
              <w:pStyle w:val="139"/>
              <w:ind w:firstLine="480"/>
              <w:rPr>
                <w:bCs/>
                <w:szCs w:val="22"/>
              </w:rPr>
            </w:pPr>
            <w:r>
              <w:t>本项目日常运行过程中，需要对生产设备进行维护、检修；本项目不设置办公区、食堂及宿舍，工作人员洗手、如厕依托云龙公路分局河南石料场公路养护配套改扩建项目旱厕。产污环节详见图2-6所示。</w:t>
            </w:r>
          </w:p>
          <w:p>
            <w:pPr>
              <w:pStyle w:val="26"/>
              <w:ind w:firstLine="240"/>
            </w:pPr>
            <w:r>
              <w:object>
                <v:shape id="_x0000_i1030" o:spt="75" type="#_x0000_t75" style="height:130.05pt;width:401.85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pStyle w:val="168"/>
            </w:pPr>
            <w:r>
              <w:t>图2-6   办公生活产物节点图</w:t>
            </w:r>
          </w:p>
          <w:p>
            <w:pPr>
              <w:pStyle w:val="111"/>
            </w:pPr>
            <w:r>
              <w:t>2.2.3污染工序识别</w:t>
            </w:r>
          </w:p>
          <w:p>
            <w:pPr>
              <w:pStyle w:val="139"/>
              <w:ind w:firstLine="480"/>
            </w:pPr>
            <w:r>
              <w:t>本项目运营期主要污染工序详见下表。</w:t>
            </w:r>
          </w:p>
          <w:p>
            <w:pPr>
              <w:pStyle w:val="168"/>
            </w:pPr>
            <w:r>
              <w:t>表2-9   运营期主要污染工序一览表</w:t>
            </w:r>
          </w:p>
          <w:tbl>
            <w:tblPr>
              <w:tblStyle w:val="28"/>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68"/>
              <w:gridCol w:w="1926"/>
              <w:gridCol w:w="287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l2br w:val="nil"/>
                    <w:tr2bl w:val="nil"/>
                  </w:tcBorders>
                  <w:vAlign w:val="center"/>
                </w:tcPr>
                <w:p>
                  <w:pPr>
                    <w:pStyle w:val="167"/>
                  </w:pPr>
                  <w:r>
                    <w:t>污染类别</w:t>
                  </w:r>
                </w:p>
              </w:tc>
              <w:tc>
                <w:tcPr>
                  <w:tcW w:w="1668" w:type="dxa"/>
                  <w:tcBorders>
                    <w:tl2br w:val="nil"/>
                    <w:tr2bl w:val="nil"/>
                  </w:tcBorders>
                  <w:vAlign w:val="center"/>
                </w:tcPr>
                <w:p>
                  <w:pPr>
                    <w:pStyle w:val="167"/>
                  </w:pPr>
                  <w:r>
                    <w:t>产污环节</w:t>
                  </w:r>
                </w:p>
              </w:tc>
              <w:tc>
                <w:tcPr>
                  <w:tcW w:w="1926" w:type="dxa"/>
                  <w:tcBorders>
                    <w:tl2br w:val="nil"/>
                    <w:tr2bl w:val="nil"/>
                  </w:tcBorders>
                  <w:vAlign w:val="center"/>
                </w:tcPr>
                <w:p>
                  <w:pPr>
                    <w:pStyle w:val="167"/>
                  </w:pPr>
                  <w:r>
                    <w:t>主要污染物</w:t>
                  </w:r>
                </w:p>
              </w:tc>
              <w:tc>
                <w:tcPr>
                  <w:tcW w:w="2879" w:type="dxa"/>
                  <w:tcBorders>
                    <w:tl2br w:val="nil"/>
                    <w:tr2bl w:val="nil"/>
                  </w:tcBorders>
                  <w:vAlign w:val="center"/>
                </w:tcPr>
                <w:p>
                  <w:pPr>
                    <w:pStyle w:val="167"/>
                  </w:pPr>
                  <w:r>
                    <w:t>治理措施</w:t>
                  </w:r>
                </w:p>
              </w:tc>
              <w:tc>
                <w:tcPr>
                  <w:tcW w:w="1259" w:type="dxa"/>
                  <w:tcBorders>
                    <w:tl2br w:val="nil"/>
                    <w:tr2bl w:val="nil"/>
                  </w:tcBorders>
                  <w:vAlign w:val="center"/>
                </w:tcPr>
                <w:p>
                  <w:pPr>
                    <w:pStyle w:val="167"/>
                  </w:pPr>
                  <w: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tcBorders>
                    <w:tl2br w:val="nil"/>
                    <w:tr2bl w:val="nil"/>
                  </w:tcBorders>
                  <w:vAlign w:val="center"/>
                </w:tcPr>
                <w:p>
                  <w:pPr>
                    <w:pStyle w:val="167"/>
                  </w:pPr>
                  <w:r>
                    <w:t>废气</w:t>
                  </w:r>
                </w:p>
              </w:tc>
              <w:tc>
                <w:tcPr>
                  <w:tcW w:w="1668" w:type="dxa"/>
                  <w:tcBorders>
                    <w:tl2br w:val="nil"/>
                    <w:tr2bl w:val="nil"/>
                  </w:tcBorders>
                  <w:vAlign w:val="center"/>
                </w:tcPr>
                <w:p>
                  <w:pPr>
                    <w:pStyle w:val="167"/>
                  </w:pPr>
                  <w:r>
                    <w:t>装载机、运输车辆</w:t>
                  </w:r>
                </w:p>
              </w:tc>
              <w:tc>
                <w:tcPr>
                  <w:tcW w:w="1926" w:type="dxa"/>
                  <w:tcBorders>
                    <w:tl2br w:val="nil"/>
                    <w:tr2bl w:val="nil"/>
                  </w:tcBorders>
                  <w:vAlign w:val="center"/>
                </w:tcPr>
                <w:p>
                  <w:pPr>
                    <w:pStyle w:val="167"/>
                  </w:pPr>
                  <w:r>
                    <w:t>G1颗粒物、G2非甲烷总烃</w:t>
                  </w:r>
                </w:p>
              </w:tc>
              <w:tc>
                <w:tcPr>
                  <w:tcW w:w="2879" w:type="dxa"/>
                  <w:tcBorders>
                    <w:tl2br w:val="nil"/>
                    <w:tr2bl w:val="nil"/>
                  </w:tcBorders>
                  <w:vAlign w:val="center"/>
                </w:tcPr>
                <w:p>
                  <w:pPr>
                    <w:pStyle w:val="167"/>
                  </w:pPr>
                  <w:r>
                    <w:t>自然通风，洒水降尘</w:t>
                  </w:r>
                </w:p>
              </w:tc>
              <w:tc>
                <w:tcPr>
                  <w:tcW w:w="1259" w:type="dxa"/>
                  <w:tcBorders>
                    <w:tl2br w:val="nil"/>
                    <w:tr2bl w:val="nil"/>
                  </w:tcBorders>
                  <w:vAlign w:val="center"/>
                </w:tcPr>
                <w:p>
                  <w:pPr>
                    <w:pStyle w:val="167"/>
                  </w:pPr>
                  <w: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骨料提升机和热骨料仓</w:t>
                  </w:r>
                </w:p>
              </w:tc>
              <w:tc>
                <w:tcPr>
                  <w:tcW w:w="1926" w:type="dxa"/>
                  <w:tcBorders>
                    <w:tl2br w:val="nil"/>
                    <w:tr2bl w:val="nil"/>
                  </w:tcBorders>
                  <w:vAlign w:val="center"/>
                </w:tcPr>
                <w:p>
                  <w:pPr>
                    <w:pStyle w:val="167"/>
                  </w:pPr>
                  <w:r>
                    <w:t>G1颗粒物</w:t>
                  </w:r>
                </w:p>
              </w:tc>
              <w:tc>
                <w:tcPr>
                  <w:tcW w:w="2879" w:type="dxa"/>
                  <w:vMerge w:val="restart"/>
                  <w:tcBorders>
                    <w:tl2br w:val="nil"/>
                    <w:tr2bl w:val="nil"/>
                  </w:tcBorders>
                  <w:vAlign w:val="center"/>
                </w:tcPr>
                <w:p>
                  <w:pPr>
                    <w:pStyle w:val="167"/>
                  </w:pPr>
                  <w:r>
                    <w:t>两级除尘系统（重力除尘和大气反吹式布袋除尘器结合）处理后通过15m高排气筒DA001，有组织排放。</w:t>
                  </w:r>
                </w:p>
              </w:tc>
              <w:tc>
                <w:tcPr>
                  <w:tcW w:w="1259" w:type="dxa"/>
                  <w:vMerge w:val="restart"/>
                  <w:tcBorders>
                    <w:tl2br w:val="nil"/>
                    <w:tr2bl w:val="nil"/>
                  </w:tcBorders>
                  <w:vAlign w:val="center"/>
                </w:tcPr>
                <w:p>
                  <w:pPr>
                    <w:pStyle w:val="167"/>
                  </w:pPr>
                  <w:r>
                    <w:t>1根15m高排气筒（DA001）有组织排放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干燥滚筒</w:t>
                  </w:r>
                </w:p>
              </w:tc>
              <w:tc>
                <w:tcPr>
                  <w:tcW w:w="1926" w:type="dxa"/>
                  <w:tcBorders>
                    <w:tl2br w:val="nil"/>
                    <w:tr2bl w:val="nil"/>
                  </w:tcBorders>
                  <w:vAlign w:val="center"/>
                </w:tcPr>
                <w:p>
                  <w:pPr>
                    <w:pStyle w:val="167"/>
                  </w:pPr>
                  <w:r>
                    <w:t>G1颗粒物</w:t>
                  </w:r>
                </w:p>
              </w:tc>
              <w:tc>
                <w:tcPr>
                  <w:tcW w:w="2879" w:type="dxa"/>
                  <w:vMerge w:val="continue"/>
                  <w:tcBorders>
                    <w:tl2br w:val="nil"/>
                    <w:tr2bl w:val="nil"/>
                  </w:tcBorders>
                  <w:vAlign w:val="center"/>
                </w:tcPr>
                <w:p>
                  <w:pPr>
                    <w:pStyle w:val="167"/>
                  </w:pP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油气两用燃烧器</w:t>
                  </w:r>
                </w:p>
              </w:tc>
              <w:tc>
                <w:tcPr>
                  <w:tcW w:w="1926" w:type="dxa"/>
                  <w:tcBorders>
                    <w:tl2br w:val="nil"/>
                    <w:tr2bl w:val="nil"/>
                  </w:tcBorders>
                  <w:vAlign w:val="center"/>
                </w:tcPr>
                <w:p>
                  <w:pPr>
                    <w:pStyle w:val="167"/>
                  </w:pPr>
                  <w:r>
                    <w:t>G1颗粒物、G3二氧化硫、G4氮氧化物</w:t>
                  </w:r>
                </w:p>
              </w:tc>
              <w:tc>
                <w:tcPr>
                  <w:tcW w:w="2879" w:type="dxa"/>
                  <w:vMerge w:val="continue"/>
                  <w:tcBorders>
                    <w:tl2br w:val="nil"/>
                    <w:tr2bl w:val="nil"/>
                  </w:tcBorders>
                  <w:vAlign w:val="center"/>
                </w:tcPr>
                <w:p>
                  <w:pPr>
                    <w:pStyle w:val="167"/>
                  </w:pP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封闭式搅拌缸、卸料口</w:t>
                  </w:r>
                </w:p>
              </w:tc>
              <w:tc>
                <w:tcPr>
                  <w:tcW w:w="1926" w:type="dxa"/>
                  <w:tcBorders>
                    <w:tl2br w:val="nil"/>
                    <w:tr2bl w:val="nil"/>
                  </w:tcBorders>
                  <w:vAlign w:val="center"/>
                </w:tcPr>
                <w:p>
                  <w:pPr>
                    <w:pStyle w:val="167"/>
                  </w:pPr>
                  <w:r>
                    <w:t>G5沥青烟、G6苯并[a]芘</w:t>
                  </w:r>
                </w:p>
              </w:tc>
              <w:tc>
                <w:tcPr>
                  <w:tcW w:w="2879" w:type="dxa"/>
                  <w:vMerge w:val="restart"/>
                  <w:tcBorders>
                    <w:tl2br w:val="nil"/>
                    <w:tr2bl w:val="nil"/>
                  </w:tcBorders>
                  <w:vAlign w:val="center"/>
                </w:tcPr>
                <w:p>
                  <w:pPr>
                    <w:pStyle w:val="167"/>
                  </w:pPr>
                  <w:r>
                    <w:t>柴油存储废气经柴油储存罐呼吸孔设置排气烟道收集；沥青加热工序废气经沥青储存罐呼吸孔设置排气烟道收集；搅拌工序、放料工序废气经搅拌机卸料口设置集气罩收集。收集后的有机废气和沥青烟气经“喷淋塔+活性炭二级吸附装置”处理后通过15m高排气筒DA002，有组织排放。</w:t>
                  </w:r>
                </w:p>
              </w:tc>
              <w:tc>
                <w:tcPr>
                  <w:tcW w:w="1259" w:type="dxa"/>
                  <w:vMerge w:val="restart"/>
                  <w:tcBorders>
                    <w:tl2br w:val="nil"/>
                    <w:tr2bl w:val="nil"/>
                  </w:tcBorders>
                  <w:vAlign w:val="center"/>
                </w:tcPr>
                <w:p>
                  <w:pPr>
                    <w:pStyle w:val="167"/>
                  </w:pPr>
                  <w:r>
                    <w:t>1根15m高排气筒（DA002）有组织排放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柴油储罐</w:t>
                  </w:r>
                </w:p>
              </w:tc>
              <w:tc>
                <w:tcPr>
                  <w:tcW w:w="1926" w:type="dxa"/>
                  <w:tcBorders>
                    <w:tl2br w:val="nil"/>
                    <w:tr2bl w:val="nil"/>
                  </w:tcBorders>
                  <w:vAlign w:val="center"/>
                </w:tcPr>
                <w:p>
                  <w:pPr>
                    <w:pStyle w:val="167"/>
                  </w:pPr>
                  <w:r>
                    <w:t>G2非甲烷总烃</w:t>
                  </w:r>
                </w:p>
              </w:tc>
              <w:tc>
                <w:tcPr>
                  <w:tcW w:w="2879" w:type="dxa"/>
                  <w:vMerge w:val="continue"/>
                  <w:tcBorders>
                    <w:tl2br w:val="nil"/>
                    <w:tr2bl w:val="nil"/>
                  </w:tcBorders>
                  <w:vAlign w:val="center"/>
                </w:tcPr>
                <w:p>
                  <w:pPr>
                    <w:pStyle w:val="167"/>
                  </w:pP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沥青储罐</w:t>
                  </w:r>
                </w:p>
              </w:tc>
              <w:tc>
                <w:tcPr>
                  <w:tcW w:w="1926" w:type="dxa"/>
                  <w:tcBorders>
                    <w:tl2br w:val="nil"/>
                    <w:tr2bl w:val="nil"/>
                  </w:tcBorders>
                  <w:vAlign w:val="center"/>
                </w:tcPr>
                <w:p>
                  <w:pPr>
                    <w:pStyle w:val="167"/>
                  </w:pPr>
                  <w:r>
                    <w:t>G2非甲烷总烃、G5沥青烟、G6苯并[a]芘</w:t>
                  </w:r>
                </w:p>
              </w:tc>
              <w:tc>
                <w:tcPr>
                  <w:tcW w:w="2879" w:type="dxa"/>
                  <w:vMerge w:val="continue"/>
                  <w:tcBorders>
                    <w:tl2br w:val="nil"/>
                    <w:tr2bl w:val="nil"/>
                  </w:tcBorders>
                  <w:vAlign w:val="center"/>
                </w:tcPr>
                <w:p>
                  <w:pPr>
                    <w:pStyle w:val="167"/>
                  </w:pP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tcBorders>
                    <w:tl2br w:val="nil"/>
                    <w:tr2bl w:val="nil"/>
                  </w:tcBorders>
                  <w:vAlign w:val="center"/>
                </w:tcPr>
                <w:p>
                  <w:pPr>
                    <w:pStyle w:val="167"/>
                  </w:pPr>
                  <w:r>
                    <w:t>废水</w:t>
                  </w:r>
                </w:p>
              </w:tc>
              <w:tc>
                <w:tcPr>
                  <w:tcW w:w="1668" w:type="dxa"/>
                  <w:tcBorders>
                    <w:tl2br w:val="nil"/>
                    <w:tr2bl w:val="nil"/>
                  </w:tcBorders>
                  <w:vAlign w:val="center"/>
                </w:tcPr>
                <w:p>
                  <w:pPr>
                    <w:pStyle w:val="167"/>
                  </w:pPr>
                  <w:r>
                    <w:t>工作人员洗手、如厕</w:t>
                  </w:r>
                </w:p>
              </w:tc>
              <w:tc>
                <w:tcPr>
                  <w:tcW w:w="1926" w:type="dxa"/>
                  <w:tcBorders>
                    <w:tl2br w:val="nil"/>
                    <w:tr2bl w:val="nil"/>
                  </w:tcBorders>
                  <w:vAlign w:val="center"/>
                </w:tcPr>
                <w:p>
                  <w:pPr>
                    <w:pStyle w:val="167"/>
                  </w:pPr>
                  <w:r>
                    <w:t>pH、SS、COD、BOD5、石油类、阴离子表面活性剂、NH3-N、总磷</w:t>
                  </w:r>
                </w:p>
              </w:tc>
              <w:tc>
                <w:tcPr>
                  <w:tcW w:w="2879" w:type="dxa"/>
                  <w:tcBorders>
                    <w:tl2br w:val="nil"/>
                    <w:tr2bl w:val="nil"/>
                  </w:tcBorders>
                  <w:vAlign w:val="center"/>
                </w:tcPr>
                <w:p>
                  <w:pPr>
                    <w:pStyle w:val="167"/>
                  </w:pPr>
                  <w:r>
                    <w:t>依托云龙公路分局河南石料场公路养护配套改扩建项目旱厕处理后委托附近村庄村民清掏用于农田施肥，不对外排放；</w:t>
                  </w:r>
                </w:p>
              </w:tc>
              <w:tc>
                <w:tcPr>
                  <w:tcW w:w="1259" w:type="dxa"/>
                  <w:tcBorders>
                    <w:tl2br w:val="nil"/>
                    <w:tr2bl w:val="nil"/>
                  </w:tcBorders>
                  <w:vAlign w:val="center"/>
                </w:tcPr>
                <w:p>
                  <w:pPr>
                    <w:pStyle w:val="167"/>
                  </w:pPr>
                  <w: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喷淋塔循环废水</w:t>
                  </w:r>
                </w:p>
              </w:tc>
              <w:tc>
                <w:tcPr>
                  <w:tcW w:w="1926" w:type="dxa"/>
                  <w:tcBorders>
                    <w:tl2br w:val="nil"/>
                    <w:tr2bl w:val="nil"/>
                  </w:tcBorders>
                  <w:vAlign w:val="center"/>
                </w:tcPr>
                <w:p>
                  <w:pPr>
                    <w:pStyle w:val="167"/>
                  </w:pPr>
                  <w:r>
                    <w:t>SS</w:t>
                  </w:r>
                </w:p>
              </w:tc>
              <w:tc>
                <w:tcPr>
                  <w:tcW w:w="2879" w:type="dxa"/>
                  <w:tcBorders>
                    <w:tl2br w:val="nil"/>
                    <w:tr2bl w:val="nil"/>
                  </w:tcBorders>
                  <w:vAlign w:val="center"/>
                </w:tcPr>
                <w:p>
                  <w:pPr>
                    <w:pStyle w:val="167"/>
                  </w:pPr>
                  <w:r>
                    <w:t>采用废水储存罐收集后及时运送到沥青路面摊铺现场作为乳化沥青配浆用水使用</w:t>
                  </w:r>
                </w:p>
              </w:tc>
              <w:tc>
                <w:tcPr>
                  <w:tcW w:w="1259" w:type="dxa"/>
                  <w:tcBorders>
                    <w:tl2br w:val="nil"/>
                    <w:tr2bl w:val="nil"/>
                  </w:tcBorders>
                  <w:vAlign w:val="center"/>
                </w:tcPr>
                <w:p>
                  <w:pPr>
                    <w:pStyle w:val="167"/>
                  </w:pPr>
                  <w: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初期雨水</w:t>
                  </w:r>
                </w:p>
              </w:tc>
              <w:tc>
                <w:tcPr>
                  <w:tcW w:w="1926" w:type="dxa"/>
                  <w:tcBorders>
                    <w:tl2br w:val="nil"/>
                    <w:tr2bl w:val="nil"/>
                  </w:tcBorders>
                  <w:vAlign w:val="center"/>
                </w:tcPr>
                <w:p>
                  <w:pPr>
                    <w:pStyle w:val="167"/>
                  </w:pPr>
                  <w:r>
                    <w:t>SS、悬浮物、泥沙</w:t>
                  </w:r>
                </w:p>
              </w:tc>
              <w:tc>
                <w:tcPr>
                  <w:tcW w:w="2879" w:type="dxa"/>
                  <w:tcBorders>
                    <w:tl2br w:val="nil"/>
                    <w:tr2bl w:val="nil"/>
                  </w:tcBorders>
                  <w:vAlign w:val="center"/>
                </w:tcPr>
                <w:p>
                  <w:pPr>
                    <w:pStyle w:val="167"/>
                  </w:pPr>
                  <w:r>
                    <w:t>经雨水沟收集后进入初期雨水收集池沉淀处理后回用于项目区洒水降尘</w:t>
                  </w:r>
                </w:p>
              </w:tc>
              <w:tc>
                <w:tcPr>
                  <w:tcW w:w="1259" w:type="dxa"/>
                  <w:tcBorders>
                    <w:tl2br w:val="nil"/>
                    <w:tr2bl w:val="nil"/>
                  </w:tcBorders>
                  <w:vAlign w:val="center"/>
                </w:tcPr>
                <w:p>
                  <w:pPr>
                    <w:pStyle w:val="167"/>
                  </w:pPr>
                  <w: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tcBorders>
                    <w:tl2br w:val="nil"/>
                    <w:tr2bl w:val="nil"/>
                  </w:tcBorders>
                  <w:vAlign w:val="center"/>
                </w:tcPr>
                <w:p>
                  <w:pPr>
                    <w:pStyle w:val="167"/>
                  </w:pPr>
                  <w:r>
                    <w:t>固废</w:t>
                  </w:r>
                </w:p>
              </w:tc>
              <w:tc>
                <w:tcPr>
                  <w:tcW w:w="1668" w:type="dxa"/>
                  <w:vMerge w:val="restart"/>
                  <w:tcBorders>
                    <w:tl2br w:val="nil"/>
                    <w:tr2bl w:val="nil"/>
                  </w:tcBorders>
                  <w:vAlign w:val="center"/>
                </w:tcPr>
                <w:p>
                  <w:pPr>
                    <w:pStyle w:val="167"/>
                  </w:pPr>
                  <w:r>
                    <w:t>生产设备养护</w:t>
                  </w:r>
                </w:p>
              </w:tc>
              <w:tc>
                <w:tcPr>
                  <w:tcW w:w="1926" w:type="dxa"/>
                  <w:tcBorders>
                    <w:tl2br w:val="nil"/>
                    <w:tr2bl w:val="nil"/>
                  </w:tcBorders>
                  <w:vAlign w:val="center"/>
                </w:tcPr>
                <w:p>
                  <w:pPr>
                    <w:pStyle w:val="167"/>
                  </w:pPr>
                  <w:r>
                    <w:t>S1废矿物油、S2含油抹布、劳保用品</w:t>
                  </w:r>
                </w:p>
              </w:tc>
              <w:tc>
                <w:tcPr>
                  <w:tcW w:w="2879" w:type="dxa"/>
                  <w:tcBorders>
                    <w:tl2br w:val="nil"/>
                    <w:tr2bl w:val="nil"/>
                  </w:tcBorders>
                  <w:vAlign w:val="center"/>
                </w:tcPr>
                <w:p>
                  <w:pPr>
                    <w:pStyle w:val="167"/>
                  </w:pPr>
                  <w:r>
                    <w:t>经垃圾桶收集后同生活垃圾一起清运至团结乡垃圾收集点</w:t>
                  </w:r>
                </w:p>
              </w:tc>
              <w:tc>
                <w:tcPr>
                  <w:tcW w:w="1259" w:type="dxa"/>
                  <w:vMerge w:val="restart"/>
                  <w:tcBorders>
                    <w:tl2br w:val="nil"/>
                    <w:tr2bl w:val="nil"/>
                  </w:tcBorders>
                  <w:vAlign w:val="center"/>
                </w:tcPr>
                <w:p>
                  <w:pPr>
                    <w:pStyle w:val="167"/>
                  </w:pPr>
                  <w:r>
                    <w:t>合理处置，处置率100%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vMerge w:val="continue"/>
                  <w:tcBorders>
                    <w:tl2br w:val="nil"/>
                    <w:tr2bl w:val="nil"/>
                  </w:tcBorders>
                  <w:vAlign w:val="center"/>
                </w:tcPr>
                <w:p>
                  <w:pPr>
                    <w:pStyle w:val="167"/>
                  </w:pPr>
                </w:p>
              </w:tc>
              <w:tc>
                <w:tcPr>
                  <w:tcW w:w="1926" w:type="dxa"/>
                  <w:tcBorders>
                    <w:tl2br w:val="nil"/>
                    <w:tr2bl w:val="nil"/>
                  </w:tcBorders>
                  <w:vAlign w:val="center"/>
                </w:tcPr>
                <w:p>
                  <w:pPr>
                    <w:pStyle w:val="167"/>
                  </w:pPr>
                  <w:r>
                    <w:t>废润滑油</w:t>
                  </w:r>
                </w:p>
              </w:tc>
              <w:tc>
                <w:tcPr>
                  <w:tcW w:w="2879" w:type="dxa"/>
                  <w:vMerge w:val="restart"/>
                  <w:tcBorders>
                    <w:tl2br w:val="nil"/>
                    <w:tr2bl w:val="nil"/>
                  </w:tcBorders>
                  <w:vAlign w:val="center"/>
                </w:tcPr>
                <w:p>
                  <w:pPr>
                    <w:pStyle w:val="167"/>
                  </w:pPr>
                  <w:r>
                    <w:t>统一收集，分类分区暂存于危废暂在间内，委托相关资质单位定期清运处置</w:t>
                  </w: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导热油管</w:t>
                  </w:r>
                </w:p>
              </w:tc>
              <w:tc>
                <w:tcPr>
                  <w:tcW w:w="1926" w:type="dxa"/>
                  <w:tcBorders>
                    <w:tl2br w:val="nil"/>
                    <w:tr2bl w:val="nil"/>
                  </w:tcBorders>
                  <w:vAlign w:val="center"/>
                </w:tcPr>
                <w:p>
                  <w:pPr>
                    <w:pStyle w:val="167"/>
                  </w:pPr>
                  <w:r>
                    <w:t>S3废导热油</w:t>
                  </w:r>
                </w:p>
              </w:tc>
              <w:tc>
                <w:tcPr>
                  <w:tcW w:w="2879" w:type="dxa"/>
                  <w:vMerge w:val="continue"/>
                  <w:tcBorders>
                    <w:tl2br w:val="nil"/>
                    <w:tr2bl w:val="nil"/>
                  </w:tcBorders>
                  <w:vAlign w:val="center"/>
                </w:tcPr>
                <w:p>
                  <w:pPr>
                    <w:pStyle w:val="167"/>
                  </w:pP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活性炭二级吸附装置</w:t>
                  </w:r>
                </w:p>
              </w:tc>
              <w:tc>
                <w:tcPr>
                  <w:tcW w:w="1926" w:type="dxa"/>
                  <w:tcBorders>
                    <w:tl2br w:val="nil"/>
                    <w:tr2bl w:val="nil"/>
                  </w:tcBorders>
                  <w:vAlign w:val="center"/>
                </w:tcPr>
                <w:p>
                  <w:pPr>
                    <w:pStyle w:val="167"/>
                  </w:pPr>
                  <w:r>
                    <w:t>S4废活性炭</w:t>
                  </w:r>
                </w:p>
              </w:tc>
              <w:tc>
                <w:tcPr>
                  <w:tcW w:w="2879" w:type="dxa"/>
                  <w:vMerge w:val="continue"/>
                  <w:tcBorders>
                    <w:tl2br w:val="nil"/>
                    <w:tr2bl w:val="nil"/>
                  </w:tcBorders>
                  <w:vAlign w:val="center"/>
                </w:tcPr>
                <w:p>
                  <w:pPr>
                    <w:pStyle w:val="167"/>
                  </w:pP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除尘系统</w:t>
                  </w:r>
                </w:p>
              </w:tc>
              <w:tc>
                <w:tcPr>
                  <w:tcW w:w="1926" w:type="dxa"/>
                  <w:tcBorders>
                    <w:tl2br w:val="nil"/>
                    <w:tr2bl w:val="nil"/>
                  </w:tcBorders>
                  <w:vAlign w:val="center"/>
                </w:tcPr>
                <w:p>
                  <w:pPr>
                    <w:pStyle w:val="167"/>
                  </w:pPr>
                  <w:r>
                    <w:t>S5收集的粉尘</w:t>
                  </w:r>
                </w:p>
              </w:tc>
              <w:tc>
                <w:tcPr>
                  <w:tcW w:w="2879" w:type="dxa"/>
                  <w:tcBorders>
                    <w:tl2br w:val="nil"/>
                    <w:tr2bl w:val="nil"/>
                  </w:tcBorders>
                  <w:vAlign w:val="center"/>
                </w:tcPr>
                <w:p>
                  <w:pPr>
                    <w:pStyle w:val="167"/>
                  </w:pPr>
                  <w:r>
                    <w:t>收集后作为粉料回用于生产</w:t>
                  </w: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沥青混凝拌合</w:t>
                  </w:r>
                </w:p>
              </w:tc>
              <w:tc>
                <w:tcPr>
                  <w:tcW w:w="1926" w:type="dxa"/>
                  <w:tcBorders>
                    <w:tl2br w:val="nil"/>
                    <w:tr2bl w:val="nil"/>
                  </w:tcBorders>
                  <w:vAlign w:val="center"/>
                </w:tcPr>
                <w:p>
                  <w:pPr>
                    <w:pStyle w:val="167"/>
                  </w:pPr>
                  <w:r>
                    <w:t>S5废边角料</w:t>
                  </w:r>
                </w:p>
              </w:tc>
              <w:tc>
                <w:tcPr>
                  <w:tcW w:w="2879" w:type="dxa"/>
                  <w:tcBorders>
                    <w:tl2br w:val="nil"/>
                    <w:tr2bl w:val="nil"/>
                  </w:tcBorders>
                  <w:vAlign w:val="center"/>
                </w:tcPr>
                <w:p>
                  <w:pPr>
                    <w:pStyle w:val="167"/>
                  </w:pPr>
                  <w:r>
                    <w:t>收集后清运至云龙公路分局废料堆弃场堆存处置</w:t>
                  </w: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tl2br w:val="nil"/>
                    <w:tr2bl w:val="nil"/>
                  </w:tcBorders>
                  <w:vAlign w:val="center"/>
                </w:tcPr>
                <w:p>
                  <w:pPr>
                    <w:pStyle w:val="167"/>
                  </w:pPr>
                </w:p>
              </w:tc>
              <w:tc>
                <w:tcPr>
                  <w:tcW w:w="1668" w:type="dxa"/>
                  <w:tcBorders>
                    <w:tl2br w:val="nil"/>
                    <w:tr2bl w:val="nil"/>
                  </w:tcBorders>
                  <w:vAlign w:val="center"/>
                </w:tcPr>
                <w:p>
                  <w:pPr>
                    <w:pStyle w:val="167"/>
                  </w:pPr>
                  <w:r>
                    <w:t>办公</w:t>
                  </w:r>
                </w:p>
              </w:tc>
              <w:tc>
                <w:tcPr>
                  <w:tcW w:w="1926" w:type="dxa"/>
                  <w:tcBorders>
                    <w:tl2br w:val="nil"/>
                    <w:tr2bl w:val="nil"/>
                  </w:tcBorders>
                  <w:vAlign w:val="center"/>
                </w:tcPr>
                <w:p>
                  <w:pPr>
                    <w:pStyle w:val="167"/>
                  </w:pPr>
                  <w:r>
                    <w:t>生活垃圾</w:t>
                  </w:r>
                </w:p>
              </w:tc>
              <w:tc>
                <w:tcPr>
                  <w:tcW w:w="2879" w:type="dxa"/>
                  <w:tcBorders>
                    <w:tl2br w:val="nil"/>
                    <w:tr2bl w:val="nil"/>
                  </w:tcBorders>
                  <w:vAlign w:val="center"/>
                </w:tcPr>
                <w:p>
                  <w:pPr>
                    <w:pStyle w:val="167"/>
                  </w:pPr>
                  <w:r>
                    <w:t>经垃圾桶收集后清运至团结乡垃圾收集点处置</w:t>
                  </w:r>
                </w:p>
              </w:tc>
              <w:tc>
                <w:tcPr>
                  <w:tcW w:w="1259" w:type="dxa"/>
                  <w:vMerge w:val="continue"/>
                  <w:tcBorders>
                    <w:tl2br w:val="nil"/>
                    <w:tr2bl w:val="nil"/>
                  </w:tcBorders>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l2br w:val="nil"/>
                    <w:tr2bl w:val="nil"/>
                  </w:tcBorders>
                  <w:vAlign w:val="center"/>
                </w:tcPr>
                <w:p>
                  <w:pPr>
                    <w:pStyle w:val="167"/>
                  </w:pPr>
                  <w:r>
                    <w:t>噪声</w:t>
                  </w:r>
                </w:p>
              </w:tc>
              <w:tc>
                <w:tcPr>
                  <w:tcW w:w="1668" w:type="dxa"/>
                  <w:tcBorders>
                    <w:tl2br w:val="nil"/>
                    <w:tr2bl w:val="nil"/>
                  </w:tcBorders>
                  <w:vAlign w:val="center"/>
                </w:tcPr>
                <w:p>
                  <w:pPr>
                    <w:pStyle w:val="167"/>
                  </w:pPr>
                  <w:r>
                    <w:t>装载机、皮带输送机、烘干滚筒、骨料提升机、封闭式搅拌缸、卸料口、运输车辆、除尘系统</w:t>
                  </w:r>
                </w:p>
              </w:tc>
              <w:tc>
                <w:tcPr>
                  <w:tcW w:w="1926" w:type="dxa"/>
                  <w:tcBorders>
                    <w:tl2br w:val="nil"/>
                    <w:tr2bl w:val="nil"/>
                  </w:tcBorders>
                  <w:vAlign w:val="center"/>
                </w:tcPr>
                <w:p>
                  <w:pPr>
                    <w:pStyle w:val="167"/>
                  </w:pPr>
                  <w:r>
                    <w:t>N1Lep A</w:t>
                  </w:r>
                </w:p>
              </w:tc>
              <w:tc>
                <w:tcPr>
                  <w:tcW w:w="2879" w:type="dxa"/>
                  <w:tcBorders>
                    <w:tl2br w:val="nil"/>
                    <w:tr2bl w:val="nil"/>
                  </w:tcBorders>
                  <w:vAlign w:val="center"/>
                </w:tcPr>
                <w:p>
                  <w:pPr>
                    <w:pStyle w:val="167"/>
                  </w:pPr>
                  <w:r>
                    <w:t>采用低噪声设备、合理布局，采取减振、建筑隔声等综合降噪措施</w:t>
                  </w:r>
                </w:p>
              </w:tc>
              <w:tc>
                <w:tcPr>
                  <w:tcW w:w="1259" w:type="dxa"/>
                  <w:tcBorders>
                    <w:tl2br w:val="nil"/>
                    <w:tr2bl w:val="nil"/>
                  </w:tcBorders>
                  <w:vAlign w:val="center"/>
                </w:tcPr>
                <w:p>
                  <w:pPr>
                    <w:pStyle w:val="167"/>
                  </w:pPr>
                  <w:r>
                    <w:t>连续</w:t>
                  </w:r>
                </w:p>
              </w:tc>
            </w:tr>
          </w:tbl>
          <w:p>
            <w:pPr>
              <w:pStyle w:val="26"/>
              <w:spacing w:after="0" w:line="360" w:lineRule="auto"/>
              <w:ind w:firstLine="422" w:firstLineChars="200"/>
              <w:jc w:val="center"/>
              <w:rPr>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 w:type="dxa"/>
            <w:vAlign w:val="center"/>
          </w:tcPr>
          <w:p>
            <w:pPr>
              <w:pStyle w:val="24"/>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Cs w:val="24"/>
              </w:rPr>
              <w:t>与项目有关的原有环境污染问题</w:t>
            </w:r>
          </w:p>
        </w:tc>
        <w:tc>
          <w:tcPr>
            <w:tcW w:w="8606" w:type="dxa"/>
          </w:tcPr>
          <w:p>
            <w:pPr>
              <w:pStyle w:val="111"/>
            </w:pPr>
            <w:r>
              <w:t>（一）现有工程环保手续履行情况</w:t>
            </w:r>
          </w:p>
          <w:p>
            <w:pPr>
              <w:pStyle w:val="139"/>
              <w:ind w:firstLine="480"/>
            </w:pPr>
            <w:r>
              <w:t>云龙公路分局沥青拌合站新建项目位于云南省大理白族自治州云龙县G215线K3347河道右侧团结乡河南箐口，由云龙公路分局承建运营；其主要承担G215线K3325至G215线K3361路段养护，共计养护路段约136km。</w:t>
            </w:r>
          </w:p>
          <w:p>
            <w:pPr>
              <w:pStyle w:val="139"/>
              <w:ind w:firstLine="480"/>
              <w:rPr>
                <w:rStyle w:val="123"/>
              </w:rPr>
            </w:pPr>
            <w:r>
              <w:t>2016年5月，云龙公路分局取得本地块使用证（详见附件4）。2016年云龙公路分局于该地块进行“云龙公路分局沥青拌合站新建项目”的建设，并于2016年建设完成后投入运行生产。云龙公路分局沥青拌合站新建项目占地面积为2565㎡，主要建设有沥青搅拌楼1座，50t电加热沥青储存罐1只、10t常压柴油双层储存罐一只和危险废物暂存间等配套设施。云龙公路分局沥青拌合站新建项目建成运行至今，未开展环境影响评价工作，2023年12月17日云龙公路分局主动履行</w:t>
            </w:r>
            <w:r>
              <w:rPr>
                <w:lang w:bidi="ar"/>
              </w:rPr>
              <w:t>《中华人民共和国环境保护法》、《中华人民共和国环境影响评价法》、《建设项目环境保护管理条例》和《云南省建设项目环境保护管理规定》的规定，</w:t>
            </w:r>
            <w:r>
              <w:t>就沥青拌合站新建项目存在未办理环境影响评价手续等环境问题主动停运，</w:t>
            </w:r>
            <w:r>
              <w:rPr>
                <w:rStyle w:val="140"/>
              </w:rPr>
              <w:t>梳理项目存在的环境问题完成整改同时办理和完善环保手续</w:t>
            </w:r>
            <w:r>
              <w:t>；</w:t>
            </w:r>
            <w:r>
              <w:rPr>
                <w:rFonts w:hint="eastAsia"/>
                <w:lang w:eastAsia="zh-CN"/>
              </w:rPr>
              <w:t>本项目于</w:t>
            </w:r>
            <w:r>
              <w:rPr>
                <w:rStyle w:val="123"/>
              </w:rPr>
              <w:t>2023年12月13日取得云龙县发展和改革局下发的《云南省固定资产投资项目备案证》（项目代码：2312-532929-04-05-894185）；项目建成后年生产沥青</w:t>
            </w:r>
            <w:r>
              <w:rPr>
                <w:rStyle w:val="123"/>
                <w:rFonts w:hint="eastAsia"/>
              </w:rPr>
              <w:t>混凝土约</w:t>
            </w:r>
            <w:r>
              <w:rPr>
                <w:rStyle w:val="123"/>
              </w:rPr>
              <w:t>1569吨。</w:t>
            </w:r>
          </w:p>
          <w:p>
            <w:pPr>
              <w:pStyle w:val="139"/>
              <w:ind w:firstLine="480"/>
            </w:pPr>
            <w:r>
              <w:rPr>
                <w:lang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根据《建设项目环境影响评价分类管理名录》（2021年版）的相关规定，本项目属于</w:t>
            </w:r>
            <w:r>
              <w:t>二十七、非金属矿物制品业 30，耐火材料制品制造308；石墨及其他非金属矿物制品制造309中“其他”</w:t>
            </w:r>
            <w:r>
              <w:rPr>
                <w:lang w:bidi="ar"/>
              </w:rPr>
              <w:t>，需编制环境影响评价报告表。</w:t>
            </w:r>
            <w:r>
              <w:rPr>
                <w:rStyle w:val="123"/>
              </w:rPr>
              <w:t>2024年3月6日大理州生态环境局云龙分局对项目现场进行检查，并于2024年4月7日出具了《关于云龙公路分局沥青拌合站建设项目环境违法行为的核查处理结果》：鉴于云龙县沥青拌合站新建项目建设至今未发生环境污染事故，无相关信访举报；云龙公路分局积极开展环评手续办理工作。处理结果如下：项目建成至今已超过两年，对“未批先建”违法行为不再进行追溯；你单位的“未验先投”行为属于首次违法，符合《中华人民共和国行政处罚法》第三十二条第一款:“当事人有下列情形之一，应当从轻或者减轻行政处罚。主动消除或者减轻违法行为危害后果的”可以减轻处罚、对环境危害较小的情形符合“首违不罚”条件，结合服务我县道路维修、搞好营商环境等工作要求，经我局班子会研究决定，对你单位“未验先投”行为不予处罚。</w:t>
            </w:r>
            <w:r>
              <w:t>现阶段正在开展环境影响评价工作。</w:t>
            </w:r>
          </w:p>
          <w:p>
            <w:pPr>
              <w:pStyle w:val="111"/>
            </w:pPr>
            <w:r>
              <w:t>（二）项目周边污染源及污染情况</w:t>
            </w:r>
          </w:p>
          <w:p>
            <w:pPr>
              <w:spacing w:line="360" w:lineRule="auto"/>
              <w:ind w:firstLine="480" w:firstLineChars="200"/>
              <w:rPr>
                <w:kern w:val="24"/>
              </w:rPr>
            </w:pPr>
            <w:r>
              <w:rPr>
                <w:sz w:val="24"/>
              </w:rPr>
              <w:t>根据现场踏勘，本项目东侧约10处为</w:t>
            </w:r>
            <w:r>
              <w:rPr>
                <w:rStyle w:val="140"/>
              </w:rPr>
              <w:t>云龙公路分局河南石料场公路养护配套改扩建项目</w:t>
            </w:r>
            <w:r>
              <w:rPr>
                <w:sz w:val="24"/>
              </w:rPr>
              <w:t>，本项目受其运输扬尘、粉尘和噪声影响较大。</w:t>
            </w:r>
          </w:p>
          <w:p>
            <w:pPr>
              <w:pStyle w:val="111"/>
            </w:pPr>
            <w:r>
              <w:t>（三）现有工程存在环境问题及整改措施</w:t>
            </w:r>
          </w:p>
          <w:p>
            <w:pPr>
              <w:pStyle w:val="139"/>
              <w:ind w:firstLine="480"/>
            </w:pPr>
            <w:r>
              <w:t>本次评价为补办环保手续，从环境保护的角度出发，对云龙公路分局沥青拌合站新建项目现行工艺流程及环保设施进行分析，诊断存在的缺陷和不足，并提出对应的整改措施和建议。根据现场调查，本项目存在环境问题及整改措施详见下表。</w:t>
            </w:r>
          </w:p>
          <w:p>
            <w:pPr>
              <w:pStyle w:val="151"/>
              <w:rPr>
                <w:color w:val="auto"/>
              </w:rPr>
            </w:pPr>
            <w:r>
              <w:rPr>
                <w:color w:val="auto"/>
              </w:rPr>
              <w:t>表2-10   现有项目存在的主要环境问题及整改措施</w:t>
            </w:r>
          </w:p>
          <w:tbl>
            <w:tblPr>
              <w:tblStyle w:val="28"/>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298"/>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473" w:type="dxa"/>
                  <w:shd w:val="clear" w:color="auto" w:fill="auto"/>
                  <w:vAlign w:val="center"/>
                </w:tcPr>
                <w:p>
                  <w:pPr>
                    <w:pStyle w:val="66"/>
                    <w:rPr>
                      <w:color w:val="auto"/>
                    </w:rPr>
                  </w:pPr>
                  <w:r>
                    <w:rPr>
                      <w:color w:val="auto"/>
                    </w:rPr>
                    <w:t>序号</w:t>
                  </w:r>
                </w:p>
              </w:tc>
              <w:tc>
                <w:tcPr>
                  <w:tcW w:w="3298" w:type="dxa"/>
                  <w:shd w:val="clear" w:color="auto" w:fill="auto"/>
                  <w:vAlign w:val="center"/>
                </w:tcPr>
                <w:p>
                  <w:pPr>
                    <w:pStyle w:val="66"/>
                    <w:rPr>
                      <w:color w:val="auto"/>
                    </w:rPr>
                  </w:pPr>
                  <w:r>
                    <w:rPr>
                      <w:color w:val="auto"/>
                    </w:rPr>
                    <w:t>项目存在的环境</w:t>
                  </w:r>
                  <w:r>
                    <w:rPr>
                      <w:rStyle w:val="35"/>
                      <w:color w:val="auto"/>
                    </w:rPr>
                    <w:t>问</w:t>
                  </w:r>
                  <w:r>
                    <w:rPr>
                      <w:color w:val="auto"/>
                    </w:rPr>
                    <w:t>题</w:t>
                  </w:r>
                </w:p>
              </w:tc>
              <w:tc>
                <w:tcPr>
                  <w:tcW w:w="4609" w:type="dxa"/>
                  <w:shd w:val="clear" w:color="auto" w:fill="auto"/>
                  <w:vAlign w:val="center"/>
                </w:tcPr>
                <w:p>
                  <w:pPr>
                    <w:pStyle w:val="66"/>
                    <w:rPr>
                      <w:color w:val="auto"/>
                    </w:rPr>
                  </w:pPr>
                  <w:r>
                    <w:rPr>
                      <w:color w:val="auto"/>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3" w:type="dxa"/>
                  <w:shd w:val="clear" w:color="auto" w:fill="auto"/>
                  <w:vAlign w:val="center"/>
                </w:tcPr>
                <w:p>
                  <w:pPr>
                    <w:pStyle w:val="66"/>
                    <w:rPr>
                      <w:color w:val="auto"/>
                    </w:rPr>
                  </w:pPr>
                  <w:r>
                    <w:rPr>
                      <w:color w:val="auto"/>
                    </w:rPr>
                    <w:t>1</w:t>
                  </w:r>
                </w:p>
              </w:tc>
              <w:tc>
                <w:tcPr>
                  <w:tcW w:w="3298" w:type="dxa"/>
                  <w:shd w:val="clear" w:color="auto" w:fill="auto"/>
                  <w:vAlign w:val="center"/>
                </w:tcPr>
                <w:p>
                  <w:pPr>
                    <w:pStyle w:val="66"/>
                    <w:rPr>
                      <w:color w:val="auto"/>
                    </w:rPr>
                  </w:pPr>
                  <w:r>
                    <w:rPr>
                      <w:color w:val="auto"/>
                    </w:rPr>
                    <w:t>本项目柴油储罐区和沥青储罐区未设置围堰，未采取防渗、防浸泡等措施</w:t>
                  </w:r>
                </w:p>
              </w:tc>
              <w:tc>
                <w:tcPr>
                  <w:tcW w:w="4609" w:type="dxa"/>
                  <w:shd w:val="clear" w:color="auto" w:fill="auto"/>
                  <w:vAlign w:val="center"/>
                </w:tcPr>
                <w:p>
                  <w:pPr>
                    <w:pStyle w:val="66"/>
                    <w:rPr>
                      <w:color w:val="auto"/>
                    </w:rPr>
                  </w:pPr>
                  <w:r>
                    <w:rPr>
                      <w:color w:val="auto"/>
                      <w:szCs w:val="21"/>
                    </w:rPr>
                    <w:t>柴油储罐罐区设置长4m、宽2.5m、高0.6m，容积6m³（约5.22t）的围堰；沥青储罐区设置长15m、宽4m、高0.7m，容积42m³（约50.4t）的围堰；储罐区地面及围堰并采用耐磨、防腐、防渗的人工涂料进行防渗处置。防渗技术要求：等效黏土防渗层Mb≥6.0m，K≤1×10-7cm/s；或参照GB18597执行；同时储罐区还应做到防浸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3" w:type="dxa"/>
                  <w:shd w:val="clear" w:color="auto" w:fill="auto"/>
                  <w:vAlign w:val="center"/>
                </w:tcPr>
                <w:p>
                  <w:pPr>
                    <w:pStyle w:val="66"/>
                    <w:rPr>
                      <w:color w:val="auto"/>
                    </w:rPr>
                  </w:pPr>
                  <w:r>
                    <w:rPr>
                      <w:color w:val="auto"/>
                    </w:rPr>
                    <w:t>2</w:t>
                  </w:r>
                </w:p>
              </w:tc>
              <w:tc>
                <w:tcPr>
                  <w:tcW w:w="3298" w:type="dxa"/>
                  <w:shd w:val="clear" w:color="auto" w:fill="auto"/>
                  <w:vAlign w:val="center"/>
                </w:tcPr>
                <w:p>
                  <w:pPr>
                    <w:pStyle w:val="66"/>
                    <w:rPr>
                      <w:color w:val="auto"/>
                    </w:rPr>
                  </w:pPr>
                  <w:r>
                    <w:rPr>
                      <w:color w:val="auto"/>
                    </w:rPr>
                    <w:t>项目区场地及项目区进场道路未进行硬化，大风天气下地面扬尘对周边大气环境造成一定影响。</w:t>
                  </w:r>
                </w:p>
              </w:tc>
              <w:tc>
                <w:tcPr>
                  <w:tcW w:w="4609" w:type="dxa"/>
                  <w:shd w:val="clear" w:color="auto" w:fill="auto"/>
                  <w:vAlign w:val="center"/>
                </w:tcPr>
                <w:p>
                  <w:pPr>
                    <w:pStyle w:val="66"/>
                    <w:rPr>
                      <w:color w:val="auto"/>
                    </w:rPr>
                  </w:pPr>
                  <w:r>
                    <w:rPr>
                      <w:color w:val="auto"/>
                    </w:rPr>
                    <w:t>采用沥青混凝土或水泥混凝土对项目区地面和进场道路进行硬化处理。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3" w:type="dxa"/>
                  <w:shd w:val="clear" w:color="auto" w:fill="auto"/>
                  <w:vAlign w:val="center"/>
                </w:tcPr>
                <w:p>
                  <w:pPr>
                    <w:pStyle w:val="66"/>
                    <w:rPr>
                      <w:color w:val="auto"/>
                    </w:rPr>
                  </w:pPr>
                  <w:r>
                    <w:rPr>
                      <w:color w:val="auto"/>
                    </w:rPr>
                    <w:t>3</w:t>
                  </w:r>
                </w:p>
              </w:tc>
              <w:tc>
                <w:tcPr>
                  <w:tcW w:w="3298" w:type="dxa"/>
                  <w:shd w:val="clear" w:color="auto" w:fill="auto"/>
                  <w:vAlign w:val="center"/>
                </w:tcPr>
                <w:p>
                  <w:pPr>
                    <w:pStyle w:val="66"/>
                    <w:rPr>
                      <w:color w:val="auto"/>
                    </w:rPr>
                  </w:pPr>
                  <w:r>
                    <w:rPr>
                      <w:color w:val="auto"/>
                    </w:rPr>
                    <w:t>本项目危险废物暂存间未按照HJ1276—2022要求设置标识；未设置环境管理台账；未与持有危险废物经营许可证的相关资质单位签订废活性炭委托处置协议</w:t>
                  </w:r>
                </w:p>
              </w:tc>
              <w:tc>
                <w:tcPr>
                  <w:tcW w:w="4609" w:type="dxa"/>
                  <w:shd w:val="clear" w:color="auto" w:fill="auto"/>
                  <w:vAlign w:val="center"/>
                </w:tcPr>
                <w:p>
                  <w:pPr>
                    <w:pStyle w:val="66"/>
                    <w:rPr>
                      <w:color w:val="auto"/>
                    </w:rPr>
                  </w:pPr>
                  <w:r>
                    <w:rPr>
                      <w:color w:val="auto"/>
                    </w:rPr>
                    <w:t>按照HJ1276—2022要求设置标识标牌；按要求设置危险废物环境管理台账；同持有危险废物经营许可证的相关资质单位签订废活性炭委托处置协议签。</w:t>
                  </w:r>
                </w:p>
              </w:tc>
            </w:tr>
          </w:tbl>
          <w:p>
            <w:pPr>
              <w:pStyle w:val="122"/>
              <w:rPr>
                <w:lang w:val="en-US"/>
              </w:rPr>
            </w:pPr>
          </w:p>
          <w:p>
            <w:pPr>
              <w:pStyle w:val="122"/>
              <w:rPr>
                <w:lang w:val="en-US"/>
              </w:rPr>
            </w:pPr>
          </w:p>
          <w:p>
            <w:pPr>
              <w:pStyle w:val="122"/>
              <w:rPr>
                <w:lang w:val="en-US"/>
              </w:rPr>
            </w:pPr>
          </w:p>
          <w:p>
            <w:pPr>
              <w:pStyle w:val="122"/>
              <w:rPr>
                <w:lang w:val="en-US"/>
              </w:rPr>
            </w:pPr>
          </w:p>
          <w:p>
            <w:pPr>
              <w:pStyle w:val="122"/>
              <w:rPr>
                <w:lang w:val="en-US"/>
              </w:rPr>
            </w:pPr>
          </w:p>
          <w:p>
            <w:pPr>
              <w:pStyle w:val="122"/>
              <w:rPr>
                <w:lang w:val="en-US"/>
              </w:rPr>
            </w:pPr>
          </w:p>
          <w:p>
            <w:pPr>
              <w:pStyle w:val="122"/>
              <w:rPr>
                <w:lang w:val="en-US"/>
              </w:rPr>
            </w:pPr>
          </w:p>
          <w:p>
            <w:pPr>
              <w:pStyle w:val="122"/>
              <w:rPr>
                <w:lang w:val="en-US"/>
              </w:rPr>
            </w:pPr>
          </w:p>
          <w:p>
            <w:pPr>
              <w:pStyle w:val="122"/>
              <w:rPr>
                <w:lang w:val="en-US"/>
              </w:rPr>
            </w:pPr>
          </w:p>
          <w:p>
            <w:pPr>
              <w:pStyle w:val="122"/>
              <w:rPr>
                <w:lang w:val="en-US"/>
              </w:rPr>
            </w:pPr>
          </w:p>
          <w:p>
            <w:pPr>
              <w:pStyle w:val="122"/>
              <w:rPr>
                <w:lang w:val="en-US"/>
              </w:rPr>
            </w:pPr>
          </w:p>
          <w:p>
            <w:pPr>
              <w:pStyle w:val="122"/>
              <w:rPr>
                <w:lang w:val="en-US"/>
              </w:rPr>
            </w:pPr>
          </w:p>
        </w:tc>
      </w:tr>
    </w:tbl>
    <w:p>
      <w:pPr>
        <w:pStyle w:val="24"/>
        <w:jc w:val="center"/>
        <w:rPr>
          <w:rFonts w:ascii="Times New Roman" w:hAnsi="Times New Roman"/>
          <w:snapToGrid w:val="0"/>
          <w:sz w:val="36"/>
          <w:szCs w:val="36"/>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line="14" w:lineRule="auto"/>
        <w:jc w:val="center"/>
        <w:rPr>
          <w:rFonts w:ascii="Times New Roman" w:hAnsi="Times New Roman"/>
          <w:snapToGrid w:val="0"/>
          <w:sz w:val="30"/>
          <w:szCs w:val="30"/>
        </w:rPr>
      </w:pPr>
    </w:p>
    <w:p>
      <w:pPr>
        <w:pStyle w:val="24"/>
        <w:adjustRightInd w:val="0"/>
        <w:snapToGrid w:val="0"/>
        <w:spacing w:before="0" w:beforeAutospacing="0" w:after="0" w:afterAutospacing="0"/>
        <w:jc w:val="center"/>
        <w:outlineLvl w:val="0"/>
        <w:rPr>
          <w:rFonts w:ascii="Times New Roman" w:hAnsi="Times New Roman"/>
          <w:b/>
          <w:bCs/>
          <w:snapToGrid w:val="0"/>
          <w:sz w:val="30"/>
          <w:szCs w:val="30"/>
        </w:rPr>
      </w:pPr>
      <w:bookmarkStart w:id="13" w:name="_Toc30051"/>
      <w:bookmarkStart w:id="14" w:name="_Toc515"/>
      <w:r>
        <w:rPr>
          <w:rFonts w:ascii="Times New Roman" w:hAnsi="Times New Roman"/>
          <w:b/>
          <w:bCs/>
          <w:snapToGrid w:val="0"/>
          <w:sz w:val="30"/>
          <w:szCs w:val="30"/>
        </w:rPr>
        <w:t>三、区域环境质量现状、环境保护目标及评价标准</w:t>
      </w:r>
      <w:bookmarkEnd w:id="13"/>
      <w:bookmarkEnd w:id="14"/>
    </w:p>
    <w:tbl>
      <w:tblPr>
        <w:tblStyle w:val="28"/>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adjustRightInd w:val="0"/>
              <w:snapToGrid w:val="0"/>
              <w:jc w:val="center"/>
              <w:rPr>
                <w:kern w:val="0"/>
                <w:sz w:val="24"/>
              </w:rPr>
            </w:pPr>
            <w:r>
              <w:rPr>
                <w:kern w:val="0"/>
                <w:sz w:val="24"/>
              </w:rPr>
              <w:t>区域</w:t>
            </w: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质量</w:t>
            </w:r>
          </w:p>
          <w:p>
            <w:pPr>
              <w:adjustRightInd w:val="0"/>
              <w:snapToGrid w:val="0"/>
              <w:jc w:val="center"/>
              <w:rPr>
                <w:kern w:val="0"/>
                <w:szCs w:val="21"/>
              </w:rPr>
            </w:pPr>
            <w:r>
              <w:rPr>
                <w:kern w:val="0"/>
                <w:sz w:val="24"/>
              </w:rPr>
              <w:t>现状</w:t>
            </w:r>
          </w:p>
        </w:tc>
        <w:tc>
          <w:tcPr>
            <w:tcW w:w="8609" w:type="dxa"/>
            <w:vAlign w:val="center"/>
          </w:tcPr>
          <w:p>
            <w:pPr>
              <w:pStyle w:val="108"/>
              <w:rPr>
                <w:color w:val="auto"/>
              </w:rPr>
            </w:pPr>
            <w:r>
              <w:rPr>
                <w:color w:val="auto"/>
              </w:rPr>
              <w:t>3.1环境质量现状</w:t>
            </w:r>
          </w:p>
          <w:p>
            <w:pPr>
              <w:pStyle w:val="111"/>
            </w:pPr>
            <w:r>
              <w:t>3.1.1大气环境质量现状</w:t>
            </w:r>
          </w:p>
          <w:p>
            <w:pPr>
              <w:pStyle w:val="139"/>
              <w:ind w:firstLine="480"/>
            </w:pPr>
            <w:r>
              <w:t>（1）区域基本污染物环境质量现状</w:t>
            </w:r>
          </w:p>
          <w:p>
            <w:pPr>
              <w:pStyle w:val="139"/>
              <w:ind w:firstLine="480"/>
            </w:pPr>
            <w:r>
              <w:t>本项目位于大理白族自治州云龙县团结乡河南箐口，依据《环境空气质量标准》环境空气功能区分类，为二类区，执行《环境空气质量标准》（GB3095-2012）二级标准。</w:t>
            </w:r>
          </w:p>
          <w:p>
            <w:pPr>
              <w:pStyle w:val="139"/>
              <w:ind w:firstLine="480"/>
            </w:pPr>
            <w:r>
              <w:t>根据《大理白族自治州2022年环境状况公报》（2023年6月5日发布），全州12个县市环境空气质量总体保持良好，其中南涧县、洱源县、剑川县和鹤庆县4个县环境空气质量达到《环境空气质量标准》（GB3095—2012）一级标准，其余8个县（市）均达到二级标准。12个县（市）优良天数比例在99.7%～100%之间，平均优良天数比例为99.95%，较2021年上升0.15个百分点，其中宾川县、弥渡县2个县优良天数比例为99.7%，其余10个县（市）优良天数比例均为100%。全州累计出现污染天气2天（轻度污染），较2021年减少8天；超标污染物均为细颗粒物。综上，项目区环境空气质量可达《环境空气质量标准》（GB3095-2012）中的二级标准限值要求，故评价区域为达标区。</w:t>
            </w:r>
          </w:p>
          <w:p>
            <w:pPr>
              <w:pStyle w:val="171"/>
              <w:rPr>
                <w:color w:val="auto"/>
              </w:rPr>
            </w:pPr>
            <w:r>
              <w:rPr>
                <w:color w:val="auto"/>
              </w:rPr>
              <w:t>表3-1   云龙县环境空气质量情况</w:t>
            </w:r>
          </w:p>
          <w:tbl>
            <w:tblPr>
              <w:tblStyle w:val="28"/>
              <w:tblW w:w="8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09"/>
              <w:gridCol w:w="874"/>
              <w:gridCol w:w="545"/>
              <w:gridCol w:w="753"/>
              <w:gridCol w:w="496"/>
              <w:gridCol w:w="738"/>
              <w:gridCol w:w="535"/>
              <w:gridCol w:w="721"/>
              <w:gridCol w:w="761"/>
              <w:gridCol w:w="749"/>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城市/站点</w:t>
                  </w:r>
                </w:p>
              </w:tc>
              <w:tc>
                <w:tcPr>
                  <w:tcW w:w="688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污染物（µg/m³，CO为mg/m³）</w:t>
                  </w:r>
                </w:p>
              </w:tc>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p>
              </w:tc>
              <w:tc>
                <w:tcPr>
                  <w:tcW w:w="1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PM</w:t>
                  </w:r>
                  <w:r>
                    <w:rPr>
                      <w:vertAlign w:val="subscript"/>
                    </w:rPr>
                    <w:t>2.5</w:t>
                  </w: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PM</w:t>
                  </w:r>
                  <w:r>
                    <w:rPr>
                      <w:vertAlign w:val="subscript"/>
                    </w:rPr>
                    <w:t>10</w:t>
                  </w:r>
                </w:p>
              </w:tc>
              <w:tc>
                <w:tcPr>
                  <w:tcW w:w="1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NO</w:t>
                  </w:r>
                  <w:r>
                    <w:rPr>
                      <w:vertAlign w:val="subscript"/>
                    </w:rPr>
                    <w:t>2</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SO</w:t>
                  </w:r>
                  <w:r>
                    <w:rPr>
                      <w:vertAlign w:val="subscript"/>
                    </w:rPr>
                    <w:t>2</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CO</w:t>
                  </w: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O</w:t>
                  </w:r>
                  <w:r>
                    <w:rPr>
                      <w:vertAlign w:val="subscript"/>
                    </w:rPr>
                    <w:t>3</w:t>
                  </w:r>
                </w:p>
              </w:tc>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年均值</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第95百分位数</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年均值</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第95百分位数</w:t>
                  </w:r>
                </w:p>
              </w:tc>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年均值</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第98百分位数</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年均值</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第98百分位数</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第95百分位数</w:t>
                  </w: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第90百分位数</w:t>
                  </w:r>
                </w:p>
              </w:tc>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云龙</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13</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27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25</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45</w:t>
                  </w:r>
                </w:p>
              </w:tc>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8</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13</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11</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17</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1.1</w:t>
                  </w: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108</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7"/>
                  </w:pPr>
                  <w:r>
                    <w:t>二级</w:t>
                  </w:r>
                </w:p>
              </w:tc>
            </w:tr>
          </w:tbl>
          <w:p>
            <w:pPr>
              <w:pStyle w:val="111"/>
              <w:rPr>
                <w:lang w:val="en-US"/>
              </w:rPr>
            </w:pPr>
            <w:r>
              <w:rPr>
                <w:lang w:val="en-US"/>
              </w:rPr>
              <w:t>（2）</w:t>
            </w:r>
            <w:r>
              <w:t>特征因子环境质量现状</w:t>
            </w:r>
          </w:p>
          <w:p>
            <w:pPr>
              <w:pStyle w:val="139"/>
              <w:ind w:firstLine="480"/>
            </w:pPr>
            <w:r>
              <w:t>本项目排放国家、地方环境空气质量标准中有标准限值要求的特征污染物主要有非甲烷总烃、苯并[a]芘、TSP、SO</w:t>
            </w:r>
            <w:r>
              <w:rPr>
                <w:vertAlign w:val="subscript"/>
              </w:rPr>
              <w:t>2</w:t>
            </w:r>
            <w:r>
              <w:t>、NO</w:t>
            </w:r>
            <w:r>
              <w:rPr>
                <w:vertAlign w:val="subscript"/>
              </w:rPr>
              <w:t>x</w:t>
            </w:r>
            <w:r>
              <w:t>。根据《建设项目环境影响报告表编制指南（污染影响类）》要求，排放国家、地方环境空气质量标准中有标准限值要求的特征污染物时，引用建设项目周边5千米范围内近3年的现有监测数据，无相关数据的选择当季主导风向下风向1个点位补充不少于3天的监测数据。本次环评为了了解掌握项目区环境空气质量，委托云南通际环境检测技术有限公司于2024年1月25日~1月27日期间对项目所在地周边的环境空气质量现状进行补充监测，监测结果如下表。</w:t>
            </w:r>
          </w:p>
          <w:p>
            <w:pPr>
              <w:pStyle w:val="171"/>
              <w:rPr>
                <w:color w:val="auto"/>
              </w:rPr>
            </w:pPr>
            <w:r>
              <w:rPr>
                <w:color w:val="auto"/>
              </w:rPr>
              <w:t>表3-2   项目环境空气质量现状监测结果  （μg/m</w:t>
            </w:r>
            <w:r>
              <w:rPr>
                <w:color w:val="auto"/>
                <w:vertAlign w:val="superscript"/>
              </w:rPr>
              <w:t>3</w:t>
            </w:r>
            <w:r>
              <w:rPr>
                <w:color w:val="auto"/>
              </w:rPr>
              <w:t>）</w:t>
            </w:r>
          </w:p>
          <w:tbl>
            <w:tblPr>
              <w:tblStyle w:val="28"/>
              <w:tblpPr w:leftFromText="180" w:rightFromText="180" w:vertAnchor="text" w:tblpXSpec="center" w:tblpY="1"/>
              <w:tblOverlap w:val="never"/>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43"/>
              <w:gridCol w:w="443"/>
              <w:gridCol w:w="1022"/>
              <w:gridCol w:w="2585"/>
              <w:gridCol w:w="700"/>
              <w:gridCol w:w="751"/>
              <w:gridCol w:w="689"/>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705" w:type="dxa"/>
                  <w:vMerge w:val="restart"/>
                  <w:vAlign w:val="center"/>
                </w:tcPr>
                <w:p>
                  <w:pPr>
                    <w:pStyle w:val="167"/>
                  </w:pPr>
                  <w:r>
                    <w:t>检测点位</w:t>
                  </w:r>
                </w:p>
              </w:tc>
              <w:tc>
                <w:tcPr>
                  <w:tcW w:w="886" w:type="dxa"/>
                  <w:gridSpan w:val="2"/>
                  <w:vAlign w:val="center"/>
                </w:tcPr>
                <w:p>
                  <w:pPr>
                    <w:pStyle w:val="167"/>
                  </w:pPr>
                  <w:r>
                    <w:t>采样日期</w:t>
                  </w:r>
                </w:p>
              </w:tc>
              <w:tc>
                <w:tcPr>
                  <w:tcW w:w="1022" w:type="dxa"/>
                  <w:vMerge w:val="restart"/>
                  <w:vAlign w:val="center"/>
                </w:tcPr>
                <w:p>
                  <w:pPr>
                    <w:pStyle w:val="167"/>
                  </w:pPr>
                  <w:r>
                    <w:t>采样时段</w:t>
                  </w:r>
                </w:p>
              </w:tc>
              <w:tc>
                <w:tcPr>
                  <w:tcW w:w="2585" w:type="dxa"/>
                  <w:vMerge w:val="restart"/>
                  <w:vAlign w:val="center"/>
                </w:tcPr>
                <w:p>
                  <w:pPr>
                    <w:pStyle w:val="167"/>
                  </w:pPr>
                  <w:r>
                    <w:t>样品编号（副编号）</w:t>
                  </w:r>
                </w:p>
              </w:tc>
              <w:tc>
                <w:tcPr>
                  <w:tcW w:w="2140" w:type="dxa"/>
                  <w:gridSpan w:val="3"/>
                  <w:vAlign w:val="center"/>
                </w:tcPr>
                <w:p>
                  <w:pPr>
                    <w:pStyle w:val="167"/>
                  </w:pPr>
                  <w:r>
                    <w:t>检测结果（ug/m</w:t>
                  </w:r>
                  <w:r>
                    <w:rPr>
                      <w:vertAlign w:val="superscript"/>
                    </w:rPr>
                    <w:t>3</w:t>
                  </w:r>
                  <w:r>
                    <w:t>）</w:t>
                  </w:r>
                </w:p>
              </w:tc>
              <w:tc>
                <w:tcPr>
                  <w:tcW w:w="1198" w:type="dxa"/>
                  <w:vMerge w:val="restart"/>
                  <w:vAlign w:val="center"/>
                </w:tcPr>
                <w:p>
                  <w:pPr>
                    <w:pStyle w:val="167"/>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705" w:type="dxa"/>
                  <w:vMerge w:val="continue"/>
                  <w:vAlign w:val="center"/>
                </w:tcPr>
                <w:p>
                  <w:pPr>
                    <w:pStyle w:val="167"/>
                  </w:pPr>
                </w:p>
              </w:tc>
              <w:tc>
                <w:tcPr>
                  <w:tcW w:w="443" w:type="dxa"/>
                  <w:vAlign w:val="center"/>
                </w:tcPr>
                <w:p>
                  <w:pPr>
                    <w:pStyle w:val="167"/>
                  </w:pPr>
                  <w:r>
                    <w:t>月</w:t>
                  </w:r>
                </w:p>
              </w:tc>
              <w:tc>
                <w:tcPr>
                  <w:tcW w:w="443" w:type="dxa"/>
                  <w:vAlign w:val="center"/>
                </w:tcPr>
                <w:p>
                  <w:pPr>
                    <w:pStyle w:val="167"/>
                  </w:pPr>
                  <w:r>
                    <w:t>日</w:t>
                  </w:r>
                </w:p>
              </w:tc>
              <w:tc>
                <w:tcPr>
                  <w:tcW w:w="1022" w:type="dxa"/>
                  <w:vMerge w:val="continue"/>
                  <w:vAlign w:val="center"/>
                </w:tcPr>
                <w:p>
                  <w:pPr>
                    <w:pStyle w:val="167"/>
                  </w:pPr>
                </w:p>
              </w:tc>
              <w:tc>
                <w:tcPr>
                  <w:tcW w:w="2585" w:type="dxa"/>
                  <w:vMerge w:val="continue"/>
                  <w:vAlign w:val="center"/>
                </w:tcPr>
                <w:p>
                  <w:pPr>
                    <w:pStyle w:val="167"/>
                  </w:pPr>
                </w:p>
              </w:tc>
              <w:tc>
                <w:tcPr>
                  <w:tcW w:w="2140" w:type="dxa"/>
                  <w:gridSpan w:val="3"/>
                  <w:vAlign w:val="center"/>
                </w:tcPr>
                <w:p>
                  <w:pPr>
                    <w:pStyle w:val="167"/>
                  </w:pPr>
                  <w:r>
                    <w:t>TSP</w:t>
                  </w:r>
                </w:p>
              </w:tc>
              <w:tc>
                <w:tcPr>
                  <w:tcW w:w="1198"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restart"/>
                  <w:vAlign w:val="center"/>
                </w:tcPr>
                <w:p>
                  <w:pPr>
                    <w:pStyle w:val="167"/>
                  </w:pPr>
                  <w:r>
                    <w:t>下风向1个点位G1</w:t>
                  </w:r>
                </w:p>
              </w:tc>
              <w:tc>
                <w:tcPr>
                  <w:tcW w:w="443" w:type="dxa"/>
                  <w:vAlign w:val="center"/>
                </w:tcPr>
                <w:p>
                  <w:pPr>
                    <w:pStyle w:val="167"/>
                  </w:pPr>
                  <w:r>
                    <w:t>1</w:t>
                  </w:r>
                </w:p>
              </w:tc>
              <w:tc>
                <w:tcPr>
                  <w:tcW w:w="443" w:type="dxa"/>
                  <w:vAlign w:val="center"/>
                </w:tcPr>
                <w:p>
                  <w:pPr>
                    <w:pStyle w:val="167"/>
                  </w:pPr>
                  <w:r>
                    <w:t>25</w:t>
                  </w:r>
                </w:p>
              </w:tc>
              <w:tc>
                <w:tcPr>
                  <w:tcW w:w="1022" w:type="dxa"/>
                  <w:vAlign w:val="center"/>
                </w:tcPr>
                <w:p>
                  <w:pPr>
                    <w:pStyle w:val="167"/>
                  </w:pPr>
                  <w:r>
                    <w:t>2:00～次日2:00</w:t>
                  </w:r>
                </w:p>
              </w:tc>
              <w:tc>
                <w:tcPr>
                  <w:tcW w:w="2585" w:type="dxa"/>
                  <w:vAlign w:val="center"/>
                </w:tcPr>
                <w:p>
                  <w:pPr>
                    <w:pStyle w:val="167"/>
                  </w:pPr>
                  <w:r>
                    <w:t>2024012401HQ01-1-1</w:t>
                  </w:r>
                </w:p>
              </w:tc>
              <w:tc>
                <w:tcPr>
                  <w:tcW w:w="2140" w:type="dxa"/>
                  <w:gridSpan w:val="3"/>
                  <w:vAlign w:val="center"/>
                </w:tcPr>
                <w:p>
                  <w:pPr>
                    <w:pStyle w:val="167"/>
                  </w:pPr>
                  <w:r>
                    <w:t>53</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Align w:val="center"/>
                </w:tcPr>
                <w:p>
                  <w:pPr>
                    <w:pStyle w:val="167"/>
                  </w:pPr>
                  <w:r>
                    <w:t>1</w:t>
                  </w:r>
                </w:p>
              </w:tc>
              <w:tc>
                <w:tcPr>
                  <w:tcW w:w="443" w:type="dxa"/>
                  <w:vAlign w:val="center"/>
                </w:tcPr>
                <w:p>
                  <w:pPr>
                    <w:pStyle w:val="167"/>
                  </w:pPr>
                  <w:r>
                    <w:t>26</w:t>
                  </w:r>
                </w:p>
              </w:tc>
              <w:tc>
                <w:tcPr>
                  <w:tcW w:w="1022" w:type="dxa"/>
                  <w:vAlign w:val="center"/>
                </w:tcPr>
                <w:p>
                  <w:pPr>
                    <w:pStyle w:val="167"/>
                  </w:pPr>
                  <w:r>
                    <w:t>2:30～次日2:30</w:t>
                  </w:r>
                </w:p>
              </w:tc>
              <w:tc>
                <w:tcPr>
                  <w:tcW w:w="2585" w:type="dxa"/>
                  <w:vAlign w:val="center"/>
                </w:tcPr>
                <w:p>
                  <w:pPr>
                    <w:pStyle w:val="167"/>
                  </w:pPr>
                  <w:r>
                    <w:t>2024012401HQ01-2-1</w:t>
                  </w:r>
                </w:p>
              </w:tc>
              <w:tc>
                <w:tcPr>
                  <w:tcW w:w="2140" w:type="dxa"/>
                  <w:gridSpan w:val="3"/>
                  <w:vAlign w:val="center"/>
                </w:tcPr>
                <w:p>
                  <w:pPr>
                    <w:pStyle w:val="167"/>
                  </w:pPr>
                  <w:r>
                    <w:t>51</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Align w:val="center"/>
                </w:tcPr>
                <w:p>
                  <w:pPr>
                    <w:pStyle w:val="167"/>
                  </w:pPr>
                  <w:r>
                    <w:t>1</w:t>
                  </w:r>
                </w:p>
              </w:tc>
              <w:tc>
                <w:tcPr>
                  <w:tcW w:w="443" w:type="dxa"/>
                  <w:vAlign w:val="center"/>
                </w:tcPr>
                <w:p>
                  <w:pPr>
                    <w:pStyle w:val="167"/>
                  </w:pPr>
                  <w:r>
                    <w:t>27</w:t>
                  </w:r>
                </w:p>
              </w:tc>
              <w:tc>
                <w:tcPr>
                  <w:tcW w:w="1022" w:type="dxa"/>
                  <w:vAlign w:val="center"/>
                </w:tcPr>
                <w:p>
                  <w:pPr>
                    <w:pStyle w:val="167"/>
                  </w:pPr>
                  <w:r>
                    <w:t>3:00～次日3:00</w:t>
                  </w:r>
                </w:p>
              </w:tc>
              <w:tc>
                <w:tcPr>
                  <w:tcW w:w="2585" w:type="dxa"/>
                  <w:vAlign w:val="center"/>
                </w:tcPr>
                <w:p>
                  <w:pPr>
                    <w:pStyle w:val="167"/>
                  </w:pPr>
                  <w:r>
                    <w:t>2024012401HQ01-3-1</w:t>
                  </w:r>
                </w:p>
              </w:tc>
              <w:tc>
                <w:tcPr>
                  <w:tcW w:w="2140" w:type="dxa"/>
                  <w:gridSpan w:val="3"/>
                  <w:vAlign w:val="center"/>
                </w:tcPr>
                <w:p>
                  <w:pPr>
                    <w:pStyle w:val="167"/>
                  </w:pPr>
                  <w:r>
                    <w:t>56</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restart"/>
                  <w:vAlign w:val="center"/>
                </w:tcPr>
                <w:p>
                  <w:pPr>
                    <w:pStyle w:val="167"/>
                  </w:pPr>
                  <w:r>
                    <w:t>检测点位</w:t>
                  </w:r>
                </w:p>
              </w:tc>
              <w:tc>
                <w:tcPr>
                  <w:tcW w:w="886" w:type="dxa"/>
                  <w:gridSpan w:val="2"/>
                  <w:vAlign w:val="center"/>
                </w:tcPr>
                <w:p>
                  <w:pPr>
                    <w:pStyle w:val="167"/>
                  </w:pPr>
                  <w:r>
                    <w:t>采样日期</w:t>
                  </w:r>
                </w:p>
              </w:tc>
              <w:tc>
                <w:tcPr>
                  <w:tcW w:w="1022" w:type="dxa"/>
                  <w:vMerge w:val="restart"/>
                  <w:vAlign w:val="center"/>
                </w:tcPr>
                <w:p>
                  <w:pPr>
                    <w:pStyle w:val="167"/>
                  </w:pPr>
                  <w:r>
                    <w:t>采样时段</w:t>
                  </w:r>
                </w:p>
              </w:tc>
              <w:tc>
                <w:tcPr>
                  <w:tcW w:w="2585" w:type="dxa"/>
                  <w:vMerge w:val="restart"/>
                  <w:vAlign w:val="center"/>
                </w:tcPr>
                <w:p>
                  <w:pPr>
                    <w:pStyle w:val="167"/>
                  </w:pPr>
                  <w:r>
                    <w:t>样品编号（副编号）</w:t>
                  </w:r>
                </w:p>
              </w:tc>
              <w:tc>
                <w:tcPr>
                  <w:tcW w:w="2140" w:type="dxa"/>
                  <w:gridSpan w:val="3"/>
                  <w:vAlign w:val="center"/>
                </w:tcPr>
                <w:p>
                  <w:pPr>
                    <w:pStyle w:val="167"/>
                  </w:pPr>
                  <w:r>
                    <w:t>检测结果（mg/m</w:t>
                  </w:r>
                  <w:r>
                    <w:rPr>
                      <w:vertAlign w:val="superscript"/>
                    </w:rPr>
                    <w:t>3</w:t>
                  </w:r>
                  <w:r>
                    <w:t>）</w:t>
                  </w:r>
                </w:p>
              </w:tc>
              <w:tc>
                <w:tcPr>
                  <w:tcW w:w="1198" w:type="dxa"/>
                  <w:vMerge w:val="restart"/>
                  <w:vAlign w:val="center"/>
                </w:tcPr>
                <w:p>
                  <w:pPr>
                    <w:pStyle w:val="167"/>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Align w:val="center"/>
                </w:tcPr>
                <w:p>
                  <w:pPr>
                    <w:pStyle w:val="167"/>
                  </w:pPr>
                  <w:r>
                    <w:t>月</w:t>
                  </w:r>
                </w:p>
              </w:tc>
              <w:tc>
                <w:tcPr>
                  <w:tcW w:w="443" w:type="dxa"/>
                  <w:vAlign w:val="center"/>
                </w:tcPr>
                <w:p>
                  <w:pPr>
                    <w:pStyle w:val="167"/>
                  </w:pPr>
                  <w:r>
                    <w:t>日</w:t>
                  </w:r>
                </w:p>
              </w:tc>
              <w:tc>
                <w:tcPr>
                  <w:tcW w:w="1022" w:type="dxa"/>
                  <w:vMerge w:val="continue"/>
                  <w:vAlign w:val="center"/>
                </w:tcPr>
                <w:p>
                  <w:pPr>
                    <w:pStyle w:val="167"/>
                  </w:pPr>
                </w:p>
              </w:tc>
              <w:tc>
                <w:tcPr>
                  <w:tcW w:w="2585" w:type="dxa"/>
                  <w:vMerge w:val="continue"/>
                  <w:vAlign w:val="center"/>
                </w:tcPr>
                <w:p>
                  <w:pPr>
                    <w:pStyle w:val="167"/>
                  </w:pPr>
                </w:p>
              </w:tc>
              <w:tc>
                <w:tcPr>
                  <w:tcW w:w="700" w:type="dxa"/>
                  <w:vAlign w:val="center"/>
                </w:tcPr>
                <w:p>
                  <w:pPr>
                    <w:pStyle w:val="167"/>
                  </w:pPr>
                  <w:r>
                    <w:t>非甲烷总烃</w:t>
                  </w:r>
                </w:p>
              </w:tc>
              <w:tc>
                <w:tcPr>
                  <w:tcW w:w="751" w:type="dxa"/>
                  <w:vAlign w:val="center"/>
                </w:tcPr>
                <w:p>
                  <w:pPr>
                    <w:pStyle w:val="167"/>
                  </w:pPr>
                  <w:r>
                    <w:t>二氧化硫</w:t>
                  </w:r>
                </w:p>
              </w:tc>
              <w:tc>
                <w:tcPr>
                  <w:tcW w:w="689" w:type="dxa"/>
                  <w:vAlign w:val="center"/>
                </w:tcPr>
                <w:p>
                  <w:pPr>
                    <w:pStyle w:val="167"/>
                  </w:pPr>
                  <w:r>
                    <w:t>二氧化氮</w:t>
                  </w:r>
                </w:p>
              </w:tc>
              <w:tc>
                <w:tcPr>
                  <w:tcW w:w="1198"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restart"/>
                  <w:vAlign w:val="center"/>
                </w:tcPr>
                <w:p>
                  <w:pPr>
                    <w:pStyle w:val="167"/>
                  </w:pPr>
                  <w:r>
                    <w:t>下风向1个点位G1</w:t>
                  </w:r>
                </w:p>
              </w:tc>
              <w:tc>
                <w:tcPr>
                  <w:tcW w:w="443" w:type="dxa"/>
                  <w:vMerge w:val="restart"/>
                  <w:vAlign w:val="center"/>
                </w:tcPr>
                <w:p>
                  <w:pPr>
                    <w:pStyle w:val="167"/>
                    <w:rPr>
                      <w:spacing w:val="-5"/>
                      <w:lang w:bidi="he-IL"/>
                    </w:rPr>
                  </w:pPr>
                  <w:r>
                    <w:t>1</w:t>
                  </w:r>
                </w:p>
              </w:tc>
              <w:tc>
                <w:tcPr>
                  <w:tcW w:w="443" w:type="dxa"/>
                  <w:vMerge w:val="restart"/>
                  <w:vAlign w:val="center"/>
                </w:tcPr>
                <w:p>
                  <w:pPr>
                    <w:pStyle w:val="167"/>
                    <w:rPr>
                      <w:spacing w:val="-5"/>
                      <w:lang w:bidi="he-IL"/>
                    </w:rPr>
                  </w:pPr>
                  <w:r>
                    <w:t>25</w:t>
                  </w:r>
                </w:p>
              </w:tc>
              <w:tc>
                <w:tcPr>
                  <w:tcW w:w="1022" w:type="dxa"/>
                  <w:vAlign w:val="center"/>
                </w:tcPr>
                <w:p>
                  <w:pPr>
                    <w:pStyle w:val="167"/>
                  </w:pPr>
                  <w:r>
                    <w:t>02:00～03:00</w:t>
                  </w:r>
                </w:p>
              </w:tc>
              <w:tc>
                <w:tcPr>
                  <w:tcW w:w="2585" w:type="dxa"/>
                  <w:vAlign w:val="center"/>
                </w:tcPr>
                <w:p>
                  <w:pPr>
                    <w:pStyle w:val="167"/>
                  </w:pPr>
                  <w:r>
                    <w:t>2024012401HQ01-1-1</w:t>
                  </w:r>
                </w:p>
              </w:tc>
              <w:tc>
                <w:tcPr>
                  <w:tcW w:w="700" w:type="dxa"/>
                  <w:vAlign w:val="center"/>
                </w:tcPr>
                <w:p>
                  <w:pPr>
                    <w:pStyle w:val="167"/>
                  </w:pPr>
                  <w:r>
                    <w:t>0.42</w:t>
                  </w:r>
                </w:p>
              </w:tc>
              <w:tc>
                <w:tcPr>
                  <w:tcW w:w="751" w:type="dxa"/>
                  <w:vAlign w:val="center"/>
                </w:tcPr>
                <w:p>
                  <w:pPr>
                    <w:pStyle w:val="167"/>
                  </w:pPr>
                  <w:r>
                    <w:t>0.024</w:t>
                  </w:r>
                </w:p>
              </w:tc>
              <w:tc>
                <w:tcPr>
                  <w:tcW w:w="689" w:type="dxa"/>
                  <w:vAlign w:val="center"/>
                </w:tcPr>
                <w:p>
                  <w:pPr>
                    <w:pStyle w:val="167"/>
                  </w:pPr>
                  <w:r>
                    <w:t>0.008</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08:00～09:00</w:t>
                  </w:r>
                </w:p>
              </w:tc>
              <w:tc>
                <w:tcPr>
                  <w:tcW w:w="2585" w:type="dxa"/>
                  <w:vAlign w:val="center"/>
                </w:tcPr>
                <w:p>
                  <w:pPr>
                    <w:pStyle w:val="167"/>
                  </w:pPr>
                  <w:r>
                    <w:t>2024012401HQ01-1-2</w:t>
                  </w:r>
                </w:p>
              </w:tc>
              <w:tc>
                <w:tcPr>
                  <w:tcW w:w="700" w:type="dxa"/>
                  <w:vAlign w:val="center"/>
                </w:tcPr>
                <w:p>
                  <w:pPr>
                    <w:pStyle w:val="167"/>
                  </w:pPr>
                  <w:r>
                    <w:t>0.51</w:t>
                  </w:r>
                </w:p>
              </w:tc>
              <w:tc>
                <w:tcPr>
                  <w:tcW w:w="751" w:type="dxa"/>
                  <w:vAlign w:val="center"/>
                </w:tcPr>
                <w:p>
                  <w:pPr>
                    <w:pStyle w:val="167"/>
                  </w:pPr>
                  <w:r>
                    <w:t>0.026</w:t>
                  </w:r>
                </w:p>
              </w:tc>
              <w:tc>
                <w:tcPr>
                  <w:tcW w:w="689" w:type="dxa"/>
                  <w:vAlign w:val="center"/>
                </w:tcPr>
                <w:p>
                  <w:pPr>
                    <w:pStyle w:val="167"/>
                  </w:pPr>
                  <w:r>
                    <w:t>0.009</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14:00～15:00</w:t>
                  </w:r>
                </w:p>
              </w:tc>
              <w:tc>
                <w:tcPr>
                  <w:tcW w:w="2585" w:type="dxa"/>
                  <w:vAlign w:val="center"/>
                </w:tcPr>
                <w:p>
                  <w:pPr>
                    <w:pStyle w:val="167"/>
                  </w:pPr>
                  <w:r>
                    <w:t>2024012401HQ01-1-3</w:t>
                  </w:r>
                </w:p>
              </w:tc>
              <w:tc>
                <w:tcPr>
                  <w:tcW w:w="700" w:type="dxa"/>
                  <w:vAlign w:val="center"/>
                </w:tcPr>
                <w:p>
                  <w:pPr>
                    <w:pStyle w:val="167"/>
                  </w:pPr>
                  <w:r>
                    <w:t>0.74</w:t>
                  </w:r>
                </w:p>
              </w:tc>
              <w:tc>
                <w:tcPr>
                  <w:tcW w:w="751" w:type="dxa"/>
                  <w:vAlign w:val="center"/>
                </w:tcPr>
                <w:p>
                  <w:pPr>
                    <w:pStyle w:val="167"/>
                  </w:pPr>
                  <w:r>
                    <w:t>0.024</w:t>
                  </w:r>
                </w:p>
              </w:tc>
              <w:tc>
                <w:tcPr>
                  <w:tcW w:w="689" w:type="dxa"/>
                  <w:vAlign w:val="center"/>
                </w:tcPr>
                <w:p>
                  <w:pPr>
                    <w:pStyle w:val="167"/>
                  </w:pPr>
                  <w:r>
                    <w:t>0.009</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20:00～21:00</w:t>
                  </w:r>
                </w:p>
              </w:tc>
              <w:tc>
                <w:tcPr>
                  <w:tcW w:w="2585" w:type="dxa"/>
                  <w:vAlign w:val="center"/>
                </w:tcPr>
                <w:p>
                  <w:pPr>
                    <w:pStyle w:val="167"/>
                  </w:pPr>
                  <w:r>
                    <w:t>2024012401HQ01-1-4</w:t>
                  </w:r>
                </w:p>
              </w:tc>
              <w:tc>
                <w:tcPr>
                  <w:tcW w:w="700" w:type="dxa"/>
                  <w:vAlign w:val="center"/>
                </w:tcPr>
                <w:p>
                  <w:pPr>
                    <w:pStyle w:val="167"/>
                  </w:pPr>
                  <w:r>
                    <w:t>0.64</w:t>
                  </w:r>
                </w:p>
              </w:tc>
              <w:tc>
                <w:tcPr>
                  <w:tcW w:w="751" w:type="dxa"/>
                  <w:vAlign w:val="center"/>
                </w:tcPr>
                <w:p>
                  <w:pPr>
                    <w:pStyle w:val="167"/>
                  </w:pPr>
                  <w:r>
                    <w:t>0.025</w:t>
                  </w:r>
                </w:p>
              </w:tc>
              <w:tc>
                <w:tcPr>
                  <w:tcW w:w="689" w:type="dxa"/>
                  <w:vAlign w:val="center"/>
                </w:tcPr>
                <w:p>
                  <w:pPr>
                    <w:pStyle w:val="167"/>
                  </w:pPr>
                  <w:r>
                    <w:t>0.007</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restart"/>
                  <w:vAlign w:val="center"/>
                </w:tcPr>
                <w:p>
                  <w:pPr>
                    <w:pStyle w:val="167"/>
                    <w:rPr>
                      <w:spacing w:val="-5"/>
                      <w:lang w:bidi="he-IL"/>
                    </w:rPr>
                  </w:pPr>
                  <w:r>
                    <w:t>1</w:t>
                  </w:r>
                </w:p>
              </w:tc>
              <w:tc>
                <w:tcPr>
                  <w:tcW w:w="443" w:type="dxa"/>
                  <w:vMerge w:val="restart"/>
                  <w:vAlign w:val="center"/>
                </w:tcPr>
                <w:p>
                  <w:pPr>
                    <w:pStyle w:val="167"/>
                    <w:rPr>
                      <w:spacing w:val="-5"/>
                      <w:lang w:bidi="he-IL"/>
                    </w:rPr>
                  </w:pPr>
                  <w:r>
                    <w:t>26</w:t>
                  </w:r>
                </w:p>
              </w:tc>
              <w:tc>
                <w:tcPr>
                  <w:tcW w:w="1022" w:type="dxa"/>
                  <w:vAlign w:val="center"/>
                </w:tcPr>
                <w:p>
                  <w:pPr>
                    <w:pStyle w:val="167"/>
                  </w:pPr>
                  <w:r>
                    <w:t>02:00～03:00</w:t>
                  </w:r>
                </w:p>
              </w:tc>
              <w:tc>
                <w:tcPr>
                  <w:tcW w:w="2585" w:type="dxa"/>
                  <w:vAlign w:val="center"/>
                </w:tcPr>
                <w:p>
                  <w:pPr>
                    <w:pStyle w:val="167"/>
                  </w:pPr>
                  <w:r>
                    <w:t>2024012401HQ01-2-11-1-1</w:t>
                  </w:r>
                </w:p>
              </w:tc>
              <w:tc>
                <w:tcPr>
                  <w:tcW w:w="700" w:type="dxa"/>
                  <w:vAlign w:val="center"/>
                </w:tcPr>
                <w:p>
                  <w:pPr>
                    <w:pStyle w:val="167"/>
                  </w:pPr>
                  <w:r>
                    <w:t>0.50</w:t>
                  </w:r>
                </w:p>
              </w:tc>
              <w:tc>
                <w:tcPr>
                  <w:tcW w:w="751" w:type="dxa"/>
                  <w:vAlign w:val="center"/>
                </w:tcPr>
                <w:p>
                  <w:pPr>
                    <w:pStyle w:val="167"/>
                  </w:pPr>
                  <w:r>
                    <w:t>0.026</w:t>
                  </w:r>
                </w:p>
              </w:tc>
              <w:tc>
                <w:tcPr>
                  <w:tcW w:w="689" w:type="dxa"/>
                  <w:vAlign w:val="center"/>
                </w:tcPr>
                <w:p>
                  <w:pPr>
                    <w:pStyle w:val="167"/>
                  </w:pPr>
                  <w:r>
                    <w:t>0.008</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08:00～09:00</w:t>
                  </w:r>
                </w:p>
              </w:tc>
              <w:tc>
                <w:tcPr>
                  <w:tcW w:w="2585" w:type="dxa"/>
                  <w:vAlign w:val="center"/>
                </w:tcPr>
                <w:p>
                  <w:pPr>
                    <w:pStyle w:val="167"/>
                  </w:pPr>
                  <w:r>
                    <w:t>2024012401HQ01-2-2</w:t>
                  </w:r>
                </w:p>
              </w:tc>
              <w:tc>
                <w:tcPr>
                  <w:tcW w:w="700" w:type="dxa"/>
                  <w:vAlign w:val="center"/>
                </w:tcPr>
                <w:p>
                  <w:pPr>
                    <w:pStyle w:val="167"/>
                  </w:pPr>
                  <w:r>
                    <w:t>0.55</w:t>
                  </w:r>
                </w:p>
              </w:tc>
              <w:tc>
                <w:tcPr>
                  <w:tcW w:w="751" w:type="dxa"/>
                  <w:vAlign w:val="center"/>
                </w:tcPr>
                <w:p>
                  <w:pPr>
                    <w:pStyle w:val="167"/>
                  </w:pPr>
                  <w:r>
                    <w:t>0.027</w:t>
                  </w:r>
                </w:p>
              </w:tc>
              <w:tc>
                <w:tcPr>
                  <w:tcW w:w="689" w:type="dxa"/>
                  <w:vAlign w:val="center"/>
                </w:tcPr>
                <w:p>
                  <w:pPr>
                    <w:pStyle w:val="167"/>
                  </w:pPr>
                  <w:r>
                    <w:t>0.008</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14:00～15:00</w:t>
                  </w:r>
                </w:p>
              </w:tc>
              <w:tc>
                <w:tcPr>
                  <w:tcW w:w="2585" w:type="dxa"/>
                  <w:vAlign w:val="center"/>
                </w:tcPr>
                <w:p>
                  <w:pPr>
                    <w:pStyle w:val="167"/>
                  </w:pPr>
                  <w:r>
                    <w:t>2024012401HQ01-2-3</w:t>
                  </w:r>
                </w:p>
              </w:tc>
              <w:tc>
                <w:tcPr>
                  <w:tcW w:w="700" w:type="dxa"/>
                  <w:vAlign w:val="center"/>
                </w:tcPr>
                <w:p>
                  <w:pPr>
                    <w:pStyle w:val="167"/>
                  </w:pPr>
                  <w:r>
                    <w:t>0.78</w:t>
                  </w:r>
                </w:p>
              </w:tc>
              <w:tc>
                <w:tcPr>
                  <w:tcW w:w="751" w:type="dxa"/>
                  <w:vAlign w:val="center"/>
                </w:tcPr>
                <w:p>
                  <w:pPr>
                    <w:pStyle w:val="167"/>
                  </w:pPr>
                  <w:r>
                    <w:t>0.026</w:t>
                  </w:r>
                </w:p>
              </w:tc>
              <w:tc>
                <w:tcPr>
                  <w:tcW w:w="689" w:type="dxa"/>
                  <w:vAlign w:val="center"/>
                </w:tcPr>
                <w:p>
                  <w:pPr>
                    <w:pStyle w:val="167"/>
                  </w:pPr>
                  <w:r>
                    <w:t>0.007</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20:00～21:00</w:t>
                  </w:r>
                </w:p>
              </w:tc>
              <w:tc>
                <w:tcPr>
                  <w:tcW w:w="2585" w:type="dxa"/>
                  <w:vAlign w:val="center"/>
                </w:tcPr>
                <w:p>
                  <w:pPr>
                    <w:pStyle w:val="167"/>
                  </w:pPr>
                  <w:r>
                    <w:t>2024012401HQ01-2-4</w:t>
                  </w:r>
                </w:p>
              </w:tc>
              <w:tc>
                <w:tcPr>
                  <w:tcW w:w="700" w:type="dxa"/>
                  <w:vAlign w:val="center"/>
                </w:tcPr>
                <w:p>
                  <w:pPr>
                    <w:pStyle w:val="167"/>
                  </w:pPr>
                  <w:r>
                    <w:t>0.68</w:t>
                  </w:r>
                </w:p>
              </w:tc>
              <w:tc>
                <w:tcPr>
                  <w:tcW w:w="751" w:type="dxa"/>
                  <w:vAlign w:val="center"/>
                </w:tcPr>
                <w:p>
                  <w:pPr>
                    <w:pStyle w:val="167"/>
                  </w:pPr>
                  <w:r>
                    <w:t>0.028</w:t>
                  </w:r>
                </w:p>
              </w:tc>
              <w:tc>
                <w:tcPr>
                  <w:tcW w:w="689" w:type="dxa"/>
                  <w:vAlign w:val="center"/>
                </w:tcPr>
                <w:p>
                  <w:pPr>
                    <w:pStyle w:val="167"/>
                  </w:pPr>
                  <w:r>
                    <w:t>0.009</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restart"/>
                  <w:vAlign w:val="center"/>
                </w:tcPr>
                <w:p>
                  <w:pPr>
                    <w:pStyle w:val="167"/>
                    <w:rPr>
                      <w:spacing w:val="-5"/>
                      <w:lang w:bidi="he-IL"/>
                    </w:rPr>
                  </w:pPr>
                  <w:r>
                    <w:t>1</w:t>
                  </w:r>
                </w:p>
              </w:tc>
              <w:tc>
                <w:tcPr>
                  <w:tcW w:w="443" w:type="dxa"/>
                  <w:vMerge w:val="restart"/>
                  <w:vAlign w:val="center"/>
                </w:tcPr>
                <w:p>
                  <w:pPr>
                    <w:pStyle w:val="167"/>
                    <w:rPr>
                      <w:spacing w:val="-5"/>
                      <w:lang w:bidi="he-IL"/>
                    </w:rPr>
                  </w:pPr>
                  <w:r>
                    <w:t>27</w:t>
                  </w:r>
                </w:p>
              </w:tc>
              <w:tc>
                <w:tcPr>
                  <w:tcW w:w="1022" w:type="dxa"/>
                  <w:vAlign w:val="center"/>
                </w:tcPr>
                <w:p>
                  <w:pPr>
                    <w:pStyle w:val="167"/>
                  </w:pPr>
                  <w:r>
                    <w:t>02:00～03:00</w:t>
                  </w:r>
                </w:p>
              </w:tc>
              <w:tc>
                <w:tcPr>
                  <w:tcW w:w="2585" w:type="dxa"/>
                  <w:vAlign w:val="center"/>
                </w:tcPr>
                <w:p>
                  <w:pPr>
                    <w:pStyle w:val="167"/>
                  </w:pPr>
                  <w:r>
                    <w:t>2024012401HQ01-4-11-1-1</w:t>
                  </w:r>
                </w:p>
              </w:tc>
              <w:tc>
                <w:tcPr>
                  <w:tcW w:w="700" w:type="dxa"/>
                  <w:vAlign w:val="center"/>
                </w:tcPr>
                <w:p>
                  <w:pPr>
                    <w:pStyle w:val="167"/>
                  </w:pPr>
                  <w:r>
                    <w:t>0.48</w:t>
                  </w:r>
                </w:p>
              </w:tc>
              <w:tc>
                <w:tcPr>
                  <w:tcW w:w="751" w:type="dxa"/>
                  <w:vAlign w:val="center"/>
                </w:tcPr>
                <w:p>
                  <w:pPr>
                    <w:pStyle w:val="167"/>
                  </w:pPr>
                  <w:r>
                    <w:t>0.027</w:t>
                  </w:r>
                </w:p>
              </w:tc>
              <w:tc>
                <w:tcPr>
                  <w:tcW w:w="689" w:type="dxa"/>
                  <w:vAlign w:val="center"/>
                </w:tcPr>
                <w:p>
                  <w:pPr>
                    <w:pStyle w:val="167"/>
                  </w:pPr>
                  <w:r>
                    <w:t>0.009</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08:00～09:00</w:t>
                  </w:r>
                </w:p>
              </w:tc>
              <w:tc>
                <w:tcPr>
                  <w:tcW w:w="2585" w:type="dxa"/>
                  <w:vAlign w:val="center"/>
                </w:tcPr>
                <w:p>
                  <w:pPr>
                    <w:pStyle w:val="167"/>
                  </w:pPr>
                  <w:r>
                    <w:t>2024012401HQ01-4-2</w:t>
                  </w:r>
                </w:p>
              </w:tc>
              <w:tc>
                <w:tcPr>
                  <w:tcW w:w="700" w:type="dxa"/>
                  <w:vAlign w:val="center"/>
                </w:tcPr>
                <w:p>
                  <w:pPr>
                    <w:pStyle w:val="167"/>
                  </w:pPr>
                  <w:r>
                    <w:t>0.59</w:t>
                  </w:r>
                </w:p>
              </w:tc>
              <w:tc>
                <w:tcPr>
                  <w:tcW w:w="751" w:type="dxa"/>
                  <w:vAlign w:val="center"/>
                </w:tcPr>
                <w:p>
                  <w:pPr>
                    <w:pStyle w:val="167"/>
                  </w:pPr>
                  <w:r>
                    <w:t>0.028</w:t>
                  </w:r>
                </w:p>
              </w:tc>
              <w:tc>
                <w:tcPr>
                  <w:tcW w:w="689" w:type="dxa"/>
                  <w:vAlign w:val="center"/>
                </w:tcPr>
                <w:p>
                  <w:pPr>
                    <w:pStyle w:val="167"/>
                  </w:pPr>
                  <w:r>
                    <w:t>0.007</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14:00～15:00</w:t>
                  </w:r>
                </w:p>
              </w:tc>
              <w:tc>
                <w:tcPr>
                  <w:tcW w:w="2585" w:type="dxa"/>
                  <w:vAlign w:val="center"/>
                </w:tcPr>
                <w:p>
                  <w:pPr>
                    <w:pStyle w:val="167"/>
                  </w:pPr>
                  <w:r>
                    <w:t>2024012401HQ01-4-3</w:t>
                  </w:r>
                </w:p>
              </w:tc>
              <w:tc>
                <w:tcPr>
                  <w:tcW w:w="700" w:type="dxa"/>
                  <w:vAlign w:val="center"/>
                </w:tcPr>
                <w:p>
                  <w:pPr>
                    <w:pStyle w:val="167"/>
                  </w:pPr>
                  <w:r>
                    <w:t>0.74</w:t>
                  </w:r>
                </w:p>
              </w:tc>
              <w:tc>
                <w:tcPr>
                  <w:tcW w:w="751" w:type="dxa"/>
                  <w:vAlign w:val="center"/>
                </w:tcPr>
                <w:p>
                  <w:pPr>
                    <w:pStyle w:val="167"/>
                  </w:pPr>
                  <w:r>
                    <w:t>0.026</w:t>
                  </w:r>
                </w:p>
              </w:tc>
              <w:tc>
                <w:tcPr>
                  <w:tcW w:w="689" w:type="dxa"/>
                  <w:vAlign w:val="center"/>
                </w:tcPr>
                <w:p>
                  <w:pPr>
                    <w:pStyle w:val="167"/>
                  </w:pPr>
                  <w:r>
                    <w:t>0.009</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Merge w:val="continue"/>
                  <w:vAlign w:val="center"/>
                </w:tcPr>
                <w:p>
                  <w:pPr>
                    <w:pStyle w:val="167"/>
                  </w:pPr>
                </w:p>
              </w:tc>
              <w:tc>
                <w:tcPr>
                  <w:tcW w:w="443" w:type="dxa"/>
                  <w:vMerge w:val="continue"/>
                  <w:vAlign w:val="center"/>
                </w:tcPr>
                <w:p>
                  <w:pPr>
                    <w:pStyle w:val="167"/>
                  </w:pPr>
                </w:p>
              </w:tc>
              <w:tc>
                <w:tcPr>
                  <w:tcW w:w="1022" w:type="dxa"/>
                  <w:vAlign w:val="center"/>
                </w:tcPr>
                <w:p>
                  <w:pPr>
                    <w:pStyle w:val="167"/>
                  </w:pPr>
                  <w:r>
                    <w:t>20:00～21:00</w:t>
                  </w:r>
                </w:p>
              </w:tc>
              <w:tc>
                <w:tcPr>
                  <w:tcW w:w="2585" w:type="dxa"/>
                  <w:vAlign w:val="center"/>
                </w:tcPr>
                <w:p>
                  <w:pPr>
                    <w:pStyle w:val="167"/>
                  </w:pPr>
                  <w:r>
                    <w:t>2024012401HQ01-4-4</w:t>
                  </w:r>
                </w:p>
              </w:tc>
              <w:tc>
                <w:tcPr>
                  <w:tcW w:w="700" w:type="dxa"/>
                  <w:vAlign w:val="center"/>
                </w:tcPr>
                <w:p>
                  <w:pPr>
                    <w:pStyle w:val="167"/>
                  </w:pPr>
                  <w:r>
                    <w:t>0.63</w:t>
                  </w:r>
                </w:p>
              </w:tc>
              <w:tc>
                <w:tcPr>
                  <w:tcW w:w="751" w:type="dxa"/>
                  <w:vAlign w:val="center"/>
                </w:tcPr>
                <w:p>
                  <w:pPr>
                    <w:pStyle w:val="167"/>
                  </w:pPr>
                  <w:r>
                    <w:t>0.029</w:t>
                  </w:r>
                </w:p>
              </w:tc>
              <w:tc>
                <w:tcPr>
                  <w:tcW w:w="689" w:type="dxa"/>
                  <w:vAlign w:val="center"/>
                </w:tcPr>
                <w:p>
                  <w:pPr>
                    <w:pStyle w:val="167"/>
                  </w:pPr>
                  <w:r>
                    <w:t>0.008</w:t>
                  </w:r>
                </w:p>
              </w:tc>
              <w:tc>
                <w:tcPr>
                  <w:tcW w:w="1198"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restart"/>
                  <w:vAlign w:val="center"/>
                </w:tcPr>
                <w:p>
                  <w:pPr>
                    <w:pStyle w:val="167"/>
                    <w:rPr>
                      <w:spacing w:val="-5"/>
                      <w:lang w:bidi="he-IL"/>
                    </w:rPr>
                  </w:pPr>
                  <w:r>
                    <w:t>检测点位</w:t>
                  </w:r>
                </w:p>
              </w:tc>
              <w:tc>
                <w:tcPr>
                  <w:tcW w:w="886" w:type="dxa"/>
                  <w:gridSpan w:val="2"/>
                  <w:vAlign w:val="center"/>
                </w:tcPr>
                <w:p>
                  <w:pPr>
                    <w:pStyle w:val="167"/>
                    <w:rPr>
                      <w:spacing w:val="-5"/>
                      <w:lang w:bidi="he-IL"/>
                    </w:rPr>
                  </w:pPr>
                  <w:r>
                    <w:t>采样日期</w:t>
                  </w:r>
                </w:p>
              </w:tc>
              <w:tc>
                <w:tcPr>
                  <w:tcW w:w="1022" w:type="dxa"/>
                  <w:vMerge w:val="restart"/>
                  <w:vAlign w:val="center"/>
                </w:tcPr>
                <w:p>
                  <w:pPr>
                    <w:pStyle w:val="167"/>
                    <w:rPr>
                      <w:spacing w:val="-5"/>
                      <w:lang w:bidi="he-IL"/>
                    </w:rPr>
                  </w:pPr>
                  <w:r>
                    <w:t>采样时段</w:t>
                  </w:r>
                </w:p>
              </w:tc>
              <w:tc>
                <w:tcPr>
                  <w:tcW w:w="2585" w:type="dxa"/>
                  <w:vMerge w:val="restart"/>
                  <w:vAlign w:val="center"/>
                </w:tcPr>
                <w:p>
                  <w:pPr>
                    <w:pStyle w:val="167"/>
                    <w:rPr>
                      <w:spacing w:val="-5"/>
                      <w:lang w:bidi="he-IL"/>
                    </w:rPr>
                  </w:pPr>
                  <w:r>
                    <w:t>样品编号（副编号）</w:t>
                  </w:r>
                </w:p>
              </w:tc>
              <w:tc>
                <w:tcPr>
                  <w:tcW w:w="1451" w:type="dxa"/>
                  <w:gridSpan w:val="2"/>
                  <w:vAlign w:val="center"/>
                </w:tcPr>
                <w:p>
                  <w:pPr>
                    <w:pStyle w:val="167"/>
                  </w:pPr>
                  <w:r>
                    <w:t>检测结果（ng/m</w:t>
                  </w:r>
                  <w:r>
                    <w:rPr>
                      <w:vertAlign w:val="superscript"/>
                    </w:rPr>
                    <w:t>3</w:t>
                  </w:r>
                  <w:r>
                    <w:t>）</w:t>
                  </w:r>
                </w:p>
              </w:tc>
              <w:tc>
                <w:tcPr>
                  <w:tcW w:w="1887" w:type="dxa"/>
                  <w:gridSpan w:val="2"/>
                  <w:vMerge w:val="restart"/>
                  <w:vAlign w:val="center"/>
                </w:tcPr>
                <w:p>
                  <w:pPr>
                    <w:pStyle w:val="167"/>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Align w:val="center"/>
                </w:tcPr>
                <w:p>
                  <w:pPr>
                    <w:pStyle w:val="167"/>
                    <w:rPr>
                      <w:spacing w:val="-5"/>
                      <w:lang w:bidi="he-IL"/>
                    </w:rPr>
                  </w:pPr>
                  <w:r>
                    <w:t>月</w:t>
                  </w:r>
                </w:p>
              </w:tc>
              <w:tc>
                <w:tcPr>
                  <w:tcW w:w="443" w:type="dxa"/>
                  <w:vAlign w:val="center"/>
                </w:tcPr>
                <w:p>
                  <w:pPr>
                    <w:pStyle w:val="167"/>
                    <w:rPr>
                      <w:spacing w:val="-5"/>
                      <w:lang w:bidi="he-IL"/>
                    </w:rPr>
                  </w:pPr>
                  <w:r>
                    <w:t>日</w:t>
                  </w:r>
                </w:p>
              </w:tc>
              <w:tc>
                <w:tcPr>
                  <w:tcW w:w="1022" w:type="dxa"/>
                  <w:vMerge w:val="continue"/>
                  <w:vAlign w:val="center"/>
                </w:tcPr>
                <w:p>
                  <w:pPr>
                    <w:pStyle w:val="167"/>
                  </w:pPr>
                </w:p>
              </w:tc>
              <w:tc>
                <w:tcPr>
                  <w:tcW w:w="2585" w:type="dxa"/>
                  <w:vMerge w:val="continue"/>
                  <w:vAlign w:val="center"/>
                </w:tcPr>
                <w:p>
                  <w:pPr>
                    <w:pStyle w:val="167"/>
                  </w:pPr>
                </w:p>
              </w:tc>
              <w:tc>
                <w:tcPr>
                  <w:tcW w:w="1451" w:type="dxa"/>
                  <w:gridSpan w:val="2"/>
                  <w:vAlign w:val="center"/>
                </w:tcPr>
                <w:p>
                  <w:pPr>
                    <w:pStyle w:val="167"/>
                  </w:pPr>
                  <w:r>
                    <w:t>苯并[a]芘</w:t>
                  </w:r>
                </w:p>
              </w:tc>
              <w:tc>
                <w:tcPr>
                  <w:tcW w:w="1887" w:type="dxa"/>
                  <w:gridSpan w:val="2"/>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restart"/>
                  <w:vAlign w:val="center"/>
                </w:tcPr>
                <w:p>
                  <w:pPr>
                    <w:pStyle w:val="167"/>
                  </w:pPr>
                  <w:r>
                    <w:t>下风向1个点位G1</w:t>
                  </w:r>
                </w:p>
              </w:tc>
              <w:tc>
                <w:tcPr>
                  <w:tcW w:w="443" w:type="dxa"/>
                  <w:vAlign w:val="center"/>
                </w:tcPr>
                <w:p>
                  <w:pPr>
                    <w:pStyle w:val="167"/>
                    <w:rPr>
                      <w:spacing w:val="-5"/>
                      <w:lang w:bidi="he-IL"/>
                    </w:rPr>
                  </w:pPr>
                  <w:r>
                    <w:t>1</w:t>
                  </w:r>
                </w:p>
              </w:tc>
              <w:tc>
                <w:tcPr>
                  <w:tcW w:w="443" w:type="dxa"/>
                  <w:vAlign w:val="center"/>
                </w:tcPr>
                <w:p>
                  <w:pPr>
                    <w:pStyle w:val="167"/>
                    <w:rPr>
                      <w:spacing w:val="-5"/>
                      <w:lang w:bidi="he-IL"/>
                    </w:rPr>
                  </w:pPr>
                  <w:r>
                    <w:t>25</w:t>
                  </w:r>
                </w:p>
              </w:tc>
              <w:tc>
                <w:tcPr>
                  <w:tcW w:w="1022" w:type="dxa"/>
                  <w:vAlign w:val="center"/>
                </w:tcPr>
                <w:p>
                  <w:pPr>
                    <w:pStyle w:val="167"/>
                  </w:pPr>
                  <w:r>
                    <w:t>/</w:t>
                  </w:r>
                </w:p>
              </w:tc>
              <w:tc>
                <w:tcPr>
                  <w:tcW w:w="2585" w:type="dxa"/>
                  <w:vAlign w:val="center"/>
                </w:tcPr>
                <w:p>
                  <w:pPr>
                    <w:pStyle w:val="167"/>
                  </w:pPr>
                  <w:r>
                    <w:t>滤膜编号144#</w:t>
                  </w:r>
                </w:p>
              </w:tc>
              <w:tc>
                <w:tcPr>
                  <w:tcW w:w="1451" w:type="dxa"/>
                  <w:gridSpan w:val="2"/>
                  <w:vAlign w:val="center"/>
                </w:tcPr>
                <w:p>
                  <w:pPr>
                    <w:pStyle w:val="167"/>
                  </w:pPr>
                  <w:r>
                    <w:t>1.3L</w:t>
                  </w:r>
                </w:p>
              </w:tc>
              <w:tc>
                <w:tcPr>
                  <w:tcW w:w="1887" w:type="dxa"/>
                  <w:gridSpan w:val="2"/>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Align w:val="center"/>
                </w:tcPr>
                <w:p>
                  <w:pPr>
                    <w:pStyle w:val="167"/>
                    <w:rPr>
                      <w:spacing w:val="-5"/>
                      <w:lang w:bidi="he-IL"/>
                    </w:rPr>
                  </w:pPr>
                  <w:r>
                    <w:t>1</w:t>
                  </w:r>
                </w:p>
              </w:tc>
              <w:tc>
                <w:tcPr>
                  <w:tcW w:w="443" w:type="dxa"/>
                  <w:vAlign w:val="center"/>
                </w:tcPr>
                <w:p>
                  <w:pPr>
                    <w:pStyle w:val="167"/>
                    <w:rPr>
                      <w:spacing w:val="-5"/>
                      <w:lang w:bidi="he-IL"/>
                    </w:rPr>
                  </w:pPr>
                  <w:r>
                    <w:t>26</w:t>
                  </w:r>
                </w:p>
              </w:tc>
              <w:tc>
                <w:tcPr>
                  <w:tcW w:w="1022" w:type="dxa"/>
                  <w:vAlign w:val="center"/>
                </w:tcPr>
                <w:p>
                  <w:pPr>
                    <w:pStyle w:val="167"/>
                  </w:pPr>
                  <w:r>
                    <w:t>/</w:t>
                  </w:r>
                </w:p>
              </w:tc>
              <w:tc>
                <w:tcPr>
                  <w:tcW w:w="2585" w:type="dxa"/>
                  <w:vAlign w:val="center"/>
                </w:tcPr>
                <w:p>
                  <w:pPr>
                    <w:pStyle w:val="167"/>
                  </w:pPr>
                  <w:r>
                    <w:t>滤膜编号145#</w:t>
                  </w:r>
                </w:p>
              </w:tc>
              <w:tc>
                <w:tcPr>
                  <w:tcW w:w="1451" w:type="dxa"/>
                  <w:gridSpan w:val="2"/>
                  <w:vAlign w:val="center"/>
                </w:tcPr>
                <w:p>
                  <w:pPr>
                    <w:pStyle w:val="167"/>
                  </w:pPr>
                  <w:r>
                    <w:t>1.3L</w:t>
                  </w:r>
                </w:p>
              </w:tc>
              <w:tc>
                <w:tcPr>
                  <w:tcW w:w="1887" w:type="dxa"/>
                  <w:gridSpan w:val="2"/>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5" w:type="dxa"/>
                  <w:vMerge w:val="continue"/>
                  <w:vAlign w:val="center"/>
                </w:tcPr>
                <w:p>
                  <w:pPr>
                    <w:pStyle w:val="167"/>
                  </w:pPr>
                </w:p>
              </w:tc>
              <w:tc>
                <w:tcPr>
                  <w:tcW w:w="443" w:type="dxa"/>
                  <w:vAlign w:val="center"/>
                </w:tcPr>
                <w:p>
                  <w:pPr>
                    <w:pStyle w:val="167"/>
                    <w:rPr>
                      <w:spacing w:val="-5"/>
                      <w:lang w:bidi="he-IL"/>
                    </w:rPr>
                  </w:pPr>
                  <w:r>
                    <w:t>1</w:t>
                  </w:r>
                </w:p>
              </w:tc>
              <w:tc>
                <w:tcPr>
                  <w:tcW w:w="443" w:type="dxa"/>
                  <w:vAlign w:val="center"/>
                </w:tcPr>
                <w:p>
                  <w:pPr>
                    <w:pStyle w:val="167"/>
                    <w:rPr>
                      <w:spacing w:val="-5"/>
                      <w:lang w:bidi="he-IL"/>
                    </w:rPr>
                  </w:pPr>
                  <w:r>
                    <w:t>27</w:t>
                  </w:r>
                </w:p>
              </w:tc>
              <w:tc>
                <w:tcPr>
                  <w:tcW w:w="1022" w:type="dxa"/>
                  <w:vAlign w:val="center"/>
                </w:tcPr>
                <w:p>
                  <w:pPr>
                    <w:pStyle w:val="167"/>
                  </w:pPr>
                  <w:r>
                    <w:t>/</w:t>
                  </w:r>
                </w:p>
              </w:tc>
              <w:tc>
                <w:tcPr>
                  <w:tcW w:w="2585" w:type="dxa"/>
                  <w:vAlign w:val="center"/>
                </w:tcPr>
                <w:p>
                  <w:pPr>
                    <w:pStyle w:val="167"/>
                  </w:pPr>
                  <w:r>
                    <w:t>滤膜编号146#</w:t>
                  </w:r>
                </w:p>
              </w:tc>
              <w:tc>
                <w:tcPr>
                  <w:tcW w:w="1451" w:type="dxa"/>
                  <w:gridSpan w:val="2"/>
                  <w:vAlign w:val="center"/>
                </w:tcPr>
                <w:p>
                  <w:pPr>
                    <w:pStyle w:val="167"/>
                  </w:pPr>
                  <w:r>
                    <w:t>1.3L</w:t>
                  </w:r>
                </w:p>
              </w:tc>
              <w:tc>
                <w:tcPr>
                  <w:tcW w:w="1887" w:type="dxa"/>
                  <w:gridSpan w:val="2"/>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36" w:type="dxa"/>
                  <w:gridSpan w:val="9"/>
                  <w:vAlign w:val="center"/>
                </w:tcPr>
                <w:p>
                  <w:pPr>
                    <w:pStyle w:val="167"/>
                  </w:pPr>
                  <w:r>
                    <w:t>“L”为未检出</w:t>
                  </w:r>
                </w:p>
              </w:tc>
            </w:tr>
          </w:tbl>
          <w:p>
            <w:pPr>
              <w:pStyle w:val="147"/>
            </w:pPr>
            <w:r>
              <w:t>由现状监测结果显示，监测点位TSP、苯并[a]芘、二氧化硫、二氧化氮能够满足《环境空气质量标准》（GB3095-2012）中二级标准要求。项目所在地环境空气质量现状良好，非甲烷总烃达到《大气污染物综合排放标准详解》推荐标准限值。项目所在区域环境空气质量较好，项目区属环境空气功能达标区。</w:t>
            </w:r>
          </w:p>
          <w:p>
            <w:pPr>
              <w:pStyle w:val="111"/>
            </w:pPr>
            <w:r>
              <w:t>3.1.2地表水环境质量现状</w:t>
            </w:r>
          </w:p>
          <w:p>
            <w:pPr>
              <w:pStyle w:val="139"/>
              <w:ind w:firstLine="480"/>
            </w:pPr>
            <w:r>
              <w:t>本项目位于大理白族自治州云龙县团结乡河南箐口，项目区域内较近地表水体有东侧3m处的顺濞河（关坪河），最终汇入澜沧江流域的黑惠江。根据《云南省水功能区划（2014年修订）》，项目地段属于“顺濞河云龙-漾濞保留区”：由云龙县顺濞河源头至漾濞县入黑惠江口，全长129.2km，现状水质为Ⅱ类，规划水平年水质目标为Ⅱ类，执行《地表水环境质量标准》（GB3096-2002）Ⅱ类标准，代表断面为顺濞河顺濞桥断面。</w:t>
            </w:r>
          </w:p>
          <w:p>
            <w:pPr>
              <w:pStyle w:val="139"/>
              <w:ind w:firstLine="480"/>
            </w:pPr>
            <w:r>
              <w:t>根据《大理白族自治州2022年环境状况公报》（2023年6月5日发布），水质类别符合Ⅱ类的测点有18个，分别为小湾水库、澜沧江功果桥断面、沘江交汇口断面、银江河博南镇晃桥断面、黑惠江剑湖断面、黑惠江玉津桥断面、黑惠江徐村桥断面、顺濞河顺濞桥断面、漾濞江羊庄坪水文站断面、西洱河闸门断面、落漏河舍茶寺断面、落漏河陈家庄大桥断面、桑园河大惠庄断面、渔泡江新民大桥断面、平川河盘口箐断面、礼社江（元江源头）回辉登断面、李仙江安定（马街）断面、乐秋河乐秋河断面。</w:t>
            </w:r>
          </w:p>
          <w:p>
            <w:pPr>
              <w:pStyle w:val="139"/>
              <w:ind w:firstLine="480"/>
            </w:pPr>
            <w:r>
              <w:t>综上所述，项目区域地表水代表断面顺濞河顺濞桥断面水质可达到《地表水环境质量标准 （GB3838-2002）中Ⅱ类，故项目区地表水环境质量现状能满足水环境功能区划要求。</w:t>
            </w:r>
          </w:p>
          <w:p>
            <w:pPr>
              <w:pStyle w:val="111"/>
            </w:pPr>
            <w:r>
              <w:t>3.1.3声环境质量现状</w:t>
            </w:r>
          </w:p>
          <w:p>
            <w:pPr>
              <w:pStyle w:val="139"/>
              <w:ind w:firstLine="480"/>
            </w:pPr>
            <w:r>
              <w:t>项目位于大理白族自治州云龙县团结乡河南箐口，项目所在地为农村地区，属于《声环境质量标准》（GB3096-2008）中规定的2类声环境功能区，执行《声环境质量标准》（GB3096-2008）2类标准；</w:t>
            </w:r>
          </w:p>
          <w:p>
            <w:pPr>
              <w:pStyle w:val="139"/>
              <w:ind w:firstLine="480"/>
            </w:pPr>
            <w:r>
              <w:rPr>
                <w:lang w:bidi="ar"/>
              </w:rPr>
              <w:t>根据</w:t>
            </w:r>
            <w:r>
              <w:t>《大理白族自治州2022年环境状况公报》（2023年6月5日发布）</w:t>
            </w:r>
            <w:r>
              <w:rPr>
                <w:lang w:bidi="ar"/>
              </w:rPr>
              <w:t>：2022年，全州12个县（市）共布设测点1331个，对251.7平方千米的城市建成区进行了1次昼间区域环境噪声监测。洱源县、弥渡县、漾濞县城市区域环境噪声总体水平等级为一级，评价为“好”，剑川县城市区域环境噪声总体水平等级为三级，评价为“一般”，其余8个县（市）城市区域环境噪声总体水平等级均为二级，评价均为“较好”。故项目区声环境</w:t>
            </w:r>
            <w:r>
              <w:t>质量满足功能区要求。</w:t>
            </w:r>
          </w:p>
          <w:p>
            <w:pPr>
              <w:pStyle w:val="139"/>
              <w:ind w:firstLine="480"/>
            </w:pPr>
            <w:r>
              <w:t>根据现场踏勘，项目周围50m范围内无声环境敏感目标，</w:t>
            </w:r>
            <w:r>
              <w:rPr>
                <w:lang w:bidi="ar"/>
              </w:rPr>
              <w:t>依据《建设项目环境影响报告表编制技术指南》（污染影响类）（试行）要求，厂界外周边50m范围内不存在声环境保护目标的，无需开展现状监测。</w:t>
            </w:r>
            <w:r>
              <w:t>项目所在地为山区，周围没有大型工矿企业，没有明显噪声声源，声环境质量能够满足GB3096-2008《声环境质量标准》2类标准要求。</w:t>
            </w:r>
          </w:p>
          <w:p>
            <w:pPr>
              <w:pStyle w:val="111"/>
            </w:pPr>
            <w:r>
              <w:t>3.1.4、土壤、地下水环境质量现状</w:t>
            </w:r>
          </w:p>
          <w:p>
            <w:pPr>
              <w:pStyle w:val="139"/>
              <w:ind w:firstLine="480"/>
            </w:pPr>
            <w:r>
              <w:t>根据《环境影响评价技术导则 土壤环境（试行）》（HJ964-2018）附录A，本项目为非金属矿物制品业，属于金属冶炼和压延加工及非金属矿物制品中的其他，属于Ⅲ类项目；项目位于</w:t>
            </w:r>
            <w:r>
              <w:rPr>
                <w:rStyle w:val="123"/>
              </w:rPr>
              <w:t>大理白族自治州云龙县团结乡河南箐口</w:t>
            </w:r>
            <w:r>
              <w:t>，土壤环境环境敏感程度属于“不敏感”，根据评价工作等级划分表，本项目可不开展土壤环境影响评价工作。</w:t>
            </w:r>
          </w:p>
          <w:p>
            <w:pPr>
              <w:pStyle w:val="139"/>
              <w:ind w:firstLine="480"/>
            </w:pPr>
            <w:r>
              <w:t>根据《环境影响评价技术导则 地下水环境》（HI610-2016）附录A地下水环境影响评价行业分类表可知，本项目属于“J-非金属矿采选及制品制造：70 防水建筑材料制造、沥青拌合站”，地下水环境影响评价项目类别为IV类，地下水环境影响评价项目类别为IV类，IV类建设项目可不开展地下水环境影响评价。</w:t>
            </w:r>
          </w:p>
          <w:p>
            <w:pPr>
              <w:pStyle w:val="111"/>
            </w:pPr>
            <w:r>
              <w:t>3.1.5、生态环境质量现状</w:t>
            </w:r>
          </w:p>
          <w:p>
            <w:pPr>
              <w:pStyle w:val="139"/>
              <w:ind w:firstLine="480"/>
            </w:pPr>
            <w:r>
              <w:t>根据《建设项目环境影响报告表编制技术指南（污染影响类）》相关要求产业园区外建设项目新增用地且用地范围内含有生态环境保护目标时，应进行生态现状调查。</w:t>
            </w:r>
          </w:p>
          <w:p>
            <w:pPr>
              <w:pStyle w:val="139"/>
              <w:ind w:firstLine="480"/>
            </w:pPr>
            <w:r>
              <w:t>本项目</w:t>
            </w:r>
            <w:r>
              <w:rPr>
                <w:rStyle w:val="115"/>
                <w:b w:val="0"/>
                <w:bCs w:val="0"/>
              </w:rPr>
              <w:t>位于</w:t>
            </w:r>
            <w:r>
              <w:t>大理白族自治州云龙县团结乡河南箐口，</w:t>
            </w:r>
            <w:r>
              <w:rPr>
                <w:szCs w:val="21"/>
              </w:rPr>
              <w:t>项目已于2016年5月建设完成并投入运营，本次评价为补办环保手续，项目用地为工业用地</w:t>
            </w:r>
            <w:r>
              <w:t>，不涉及新增用地，无生态环境保护目标。根据云龙县自然资源局出具的生态红线查询结果，本项目不涉及生态保护红线。根据现场踏勘，项目所在区域内已无原生植被存在，项目区西侧</w:t>
            </w:r>
            <w:r>
              <w:rPr>
                <w:szCs w:val="21"/>
              </w:rPr>
              <w:t>为云龙公路分局河南石料场公路养护配套改扩建项目，</w:t>
            </w:r>
            <w:r>
              <w:t>东侧为G215国道</w:t>
            </w:r>
            <w:r>
              <w:rPr>
                <w:szCs w:val="21"/>
              </w:rPr>
              <w:t>，</w:t>
            </w:r>
            <w:r>
              <w:t>南侧为山植被主要以云南松、野生灌木丛为主。受来往车辆、企业生产等人类活动的影响，区域野生动物种类较少，常见有麻雀、田鼠等小型野生动物。项目区范围内无国家级和省级保护动植物，也无重点保护古木名树和珍稀植物存在。综上，项目所在区域总体生态环境质量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kern w:val="0"/>
                <w:sz w:val="24"/>
              </w:rPr>
            </w:pPr>
            <w:r>
              <w:rPr>
                <w:kern w:val="0"/>
                <w:sz w:val="24"/>
              </w:rPr>
              <w:t>目标</w:t>
            </w:r>
          </w:p>
        </w:tc>
        <w:tc>
          <w:tcPr>
            <w:tcW w:w="8609" w:type="dxa"/>
            <w:vAlign w:val="center"/>
          </w:tcPr>
          <w:p>
            <w:pPr>
              <w:pStyle w:val="108"/>
              <w:rPr>
                <w:color w:val="auto"/>
              </w:rPr>
            </w:pPr>
            <w:r>
              <w:rPr>
                <w:color w:val="auto"/>
              </w:rPr>
              <w:t>3.2环境保护目标</w:t>
            </w:r>
          </w:p>
          <w:p>
            <w:pPr>
              <w:pStyle w:val="147"/>
            </w:pPr>
            <w:r>
              <w:t>根据《关于印发&lt;建设项目环境影响报告表&gt;内容、格式及编制技术指南的通知》（环办环评（2020）33号）的要求：“大气环境保护目标范围为厂界外500米范围内自然保护区、风景名胜区、居住区、文化区和农村地区中人群较集中的区域；声环境保护目标范围为厂界外50米范围内；地下水环境保护目标范围为厂界外500米范围内的地下水集中式饮用水水源和热水、矿泉水、温泉等特殊地下水资源；生态环境保护要求为产业园区外建设项目新增用地的，应明确新增用地范围内生态环境保护目标”。</w:t>
            </w:r>
          </w:p>
          <w:p>
            <w:pPr>
              <w:pStyle w:val="111"/>
            </w:pPr>
            <w:r>
              <w:t>3.2.1、大气环境</w:t>
            </w:r>
          </w:p>
          <w:p>
            <w:pPr>
              <w:pStyle w:val="147"/>
            </w:pPr>
            <w:r>
              <w:t>本项目所在区域为环境空气二类功能区，项目区周边500m范围内大气环境保护目标主要为云龙公路分局河南石料场公路养护配套改扩建项目生活区、门阶村散户（7户）。</w:t>
            </w:r>
          </w:p>
          <w:p>
            <w:pPr>
              <w:pStyle w:val="111"/>
            </w:pPr>
            <w:r>
              <w:t>3.2.2、声环境</w:t>
            </w:r>
          </w:p>
          <w:p>
            <w:pPr>
              <w:pStyle w:val="147"/>
            </w:pPr>
            <w:r>
              <w:t>项目位于大理白族自治州云龙县团结乡河南箐口，项目所在地为农村地区，属于《声环境质量标准》（GB3096-2008）中规定的2类声环境功能区，根据现场踏勘，项目厂界外周边50m范围内无声环境保护目标。</w:t>
            </w:r>
          </w:p>
          <w:p>
            <w:pPr>
              <w:pStyle w:val="111"/>
            </w:pPr>
            <w:r>
              <w:t>3.2.3、地表水</w:t>
            </w:r>
          </w:p>
          <w:p>
            <w:pPr>
              <w:pStyle w:val="147"/>
            </w:pPr>
            <w:r>
              <w:t>根据《环境影响评价技术导则 地表水环境》（HJ2.3-2018），地表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r>
              <w:rPr>
                <w:kern w:val="0"/>
              </w:rPr>
              <w:t>项目地表水体为东侧3m处的关坪河</w:t>
            </w:r>
            <w:r>
              <w:t>，故本项目地表水</w:t>
            </w:r>
            <w:r>
              <w:rPr>
                <w:kern w:val="0"/>
              </w:rPr>
              <w:t>环境保护目标为关坪河</w:t>
            </w:r>
            <w:r>
              <w:t>。</w:t>
            </w:r>
          </w:p>
          <w:p>
            <w:pPr>
              <w:pStyle w:val="111"/>
            </w:pPr>
            <w:r>
              <w:t>3.2.4、地下水</w:t>
            </w:r>
          </w:p>
          <w:p>
            <w:pPr>
              <w:pStyle w:val="147"/>
            </w:pPr>
            <w:r>
              <w:t>根据现场踏勘，项目厂界外500m范围内无地下水集中式饮用水水源和热水、矿泉水、温泉等特殊地下水资源。</w:t>
            </w:r>
          </w:p>
          <w:p>
            <w:pPr>
              <w:pStyle w:val="111"/>
            </w:pPr>
            <w:r>
              <w:t>3.2.5、生态环境</w:t>
            </w:r>
          </w:p>
          <w:p>
            <w:pPr>
              <w:pStyle w:val="147"/>
            </w:pPr>
            <w:r>
              <w:t>本项目</w:t>
            </w:r>
            <w:r>
              <w:rPr>
                <w:rStyle w:val="115"/>
                <w:b w:val="0"/>
                <w:bCs w:val="0"/>
              </w:rPr>
              <w:t>位于</w:t>
            </w:r>
            <w:r>
              <w:t>大理白族自治州云龙县团结乡河南箐口，</w:t>
            </w:r>
            <w:r>
              <w:rPr>
                <w:szCs w:val="21"/>
              </w:rPr>
              <w:t>项目已于2016年5月建设完成并投入运营，本次评价为补办环保手续，项目用地为工业用地</w:t>
            </w:r>
            <w:r>
              <w:t>，不涉及新增用地，用地范围内不涉及生态保护目标。</w:t>
            </w:r>
          </w:p>
          <w:p>
            <w:pPr>
              <w:pStyle w:val="147"/>
            </w:pPr>
            <w:r>
              <w:t>项目区主要环境保护目标详见表3-3，项目周边关系详见附图3。</w:t>
            </w:r>
          </w:p>
          <w:p>
            <w:pPr>
              <w:pStyle w:val="168"/>
            </w:pPr>
            <w:r>
              <w:t>表3-3   环境保护目标一览表</w:t>
            </w:r>
          </w:p>
          <w:tbl>
            <w:tblPr>
              <w:tblStyle w:val="29"/>
              <w:tblW w:w="8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86"/>
              <w:gridCol w:w="1422"/>
              <w:gridCol w:w="1422"/>
              <w:gridCol w:w="469"/>
              <w:gridCol w:w="480"/>
              <w:gridCol w:w="570"/>
              <w:gridCol w:w="663"/>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69" w:type="dxa"/>
                  <w:vMerge w:val="restart"/>
                  <w:vAlign w:val="center"/>
                </w:tcPr>
                <w:p>
                  <w:pPr>
                    <w:pStyle w:val="167"/>
                  </w:pPr>
                  <w:r>
                    <w:t>环境要素</w:t>
                  </w:r>
                </w:p>
              </w:tc>
              <w:tc>
                <w:tcPr>
                  <w:tcW w:w="886" w:type="dxa"/>
                  <w:vMerge w:val="restart"/>
                  <w:vAlign w:val="center"/>
                </w:tcPr>
                <w:p>
                  <w:pPr>
                    <w:pStyle w:val="167"/>
                  </w:pPr>
                  <w:r>
                    <w:t>保护对象</w:t>
                  </w:r>
                </w:p>
              </w:tc>
              <w:tc>
                <w:tcPr>
                  <w:tcW w:w="2844" w:type="dxa"/>
                  <w:gridSpan w:val="2"/>
                  <w:vAlign w:val="center"/>
                </w:tcPr>
                <w:p>
                  <w:pPr>
                    <w:pStyle w:val="167"/>
                  </w:pPr>
                  <w:r>
                    <w:t>坐标/（°）</w:t>
                  </w:r>
                </w:p>
              </w:tc>
              <w:tc>
                <w:tcPr>
                  <w:tcW w:w="469" w:type="dxa"/>
                  <w:vMerge w:val="restart"/>
                  <w:vAlign w:val="center"/>
                </w:tcPr>
                <w:p>
                  <w:pPr>
                    <w:pStyle w:val="167"/>
                  </w:pPr>
                  <w:r>
                    <w:t>环境功能区</w:t>
                  </w:r>
                </w:p>
              </w:tc>
              <w:tc>
                <w:tcPr>
                  <w:tcW w:w="480" w:type="dxa"/>
                  <w:vMerge w:val="restart"/>
                  <w:vAlign w:val="center"/>
                </w:tcPr>
                <w:p>
                  <w:pPr>
                    <w:pStyle w:val="167"/>
                  </w:pPr>
                  <w:r>
                    <w:t>相对厂址方位</w:t>
                  </w:r>
                </w:p>
              </w:tc>
              <w:tc>
                <w:tcPr>
                  <w:tcW w:w="570" w:type="dxa"/>
                  <w:vMerge w:val="restart"/>
                  <w:vAlign w:val="center"/>
                </w:tcPr>
                <w:p>
                  <w:pPr>
                    <w:pStyle w:val="167"/>
                  </w:pPr>
                  <w:r>
                    <w:t>相对距离/m</w:t>
                  </w:r>
                </w:p>
              </w:tc>
              <w:tc>
                <w:tcPr>
                  <w:tcW w:w="663" w:type="dxa"/>
                  <w:vMerge w:val="restart"/>
                  <w:vAlign w:val="center"/>
                </w:tcPr>
                <w:p>
                  <w:pPr>
                    <w:pStyle w:val="167"/>
                  </w:pPr>
                  <w:r>
                    <w:t>规模</w:t>
                  </w:r>
                </w:p>
              </w:tc>
              <w:tc>
                <w:tcPr>
                  <w:tcW w:w="2002" w:type="dxa"/>
                  <w:vMerge w:val="restart"/>
                  <w:vAlign w:val="center"/>
                </w:tcPr>
                <w:p>
                  <w:pPr>
                    <w:pStyle w:val="167"/>
                  </w:pPr>
                  <w: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69" w:type="dxa"/>
                  <w:vMerge w:val="continue"/>
                  <w:vAlign w:val="center"/>
                </w:tcPr>
                <w:p>
                  <w:pPr>
                    <w:pStyle w:val="167"/>
                  </w:pPr>
                </w:p>
              </w:tc>
              <w:tc>
                <w:tcPr>
                  <w:tcW w:w="886" w:type="dxa"/>
                  <w:vMerge w:val="continue"/>
                  <w:vAlign w:val="center"/>
                </w:tcPr>
                <w:p>
                  <w:pPr>
                    <w:pStyle w:val="167"/>
                  </w:pPr>
                </w:p>
              </w:tc>
              <w:tc>
                <w:tcPr>
                  <w:tcW w:w="1422" w:type="dxa"/>
                  <w:vAlign w:val="center"/>
                </w:tcPr>
                <w:p>
                  <w:pPr>
                    <w:pStyle w:val="167"/>
                  </w:pPr>
                  <w:r>
                    <w:t>经度（E）</w:t>
                  </w:r>
                </w:p>
              </w:tc>
              <w:tc>
                <w:tcPr>
                  <w:tcW w:w="1422" w:type="dxa"/>
                  <w:vAlign w:val="center"/>
                </w:tcPr>
                <w:p>
                  <w:pPr>
                    <w:pStyle w:val="167"/>
                  </w:pPr>
                  <w:r>
                    <w:t>纬度（N）</w:t>
                  </w:r>
                </w:p>
              </w:tc>
              <w:tc>
                <w:tcPr>
                  <w:tcW w:w="469" w:type="dxa"/>
                  <w:vMerge w:val="continue"/>
                  <w:vAlign w:val="center"/>
                </w:tcPr>
                <w:p>
                  <w:pPr>
                    <w:pStyle w:val="167"/>
                  </w:pPr>
                </w:p>
              </w:tc>
              <w:tc>
                <w:tcPr>
                  <w:tcW w:w="480" w:type="dxa"/>
                  <w:vMerge w:val="continue"/>
                  <w:vAlign w:val="center"/>
                </w:tcPr>
                <w:p>
                  <w:pPr>
                    <w:pStyle w:val="167"/>
                  </w:pPr>
                </w:p>
              </w:tc>
              <w:tc>
                <w:tcPr>
                  <w:tcW w:w="570" w:type="dxa"/>
                  <w:vMerge w:val="continue"/>
                  <w:vAlign w:val="center"/>
                </w:tcPr>
                <w:p>
                  <w:pPr>
                    <w:pStyle w:val="167"/>
                  </w:pPr>
                </w:p>
              </w:tc>
              <w:tc>
                <w:tcPr>
                  <w:tcW w:w="663" w:type="dxa"/>
                  <w:vMerge w:val="continue"/>
                  <w:vAlign w:val="center"/>
                </w:tcPr>
                <w:p>
                  <w:pPr>
                    <w:pStyle w:val="167"/>
                  </w:pPr>
                </w:p>
              </w:tc>
              <w:tc>
                <w:tcPr>
                  <w:tcW w:w="2002"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69" w:type="dxa"/>
                  <w:vMerge w:val="restart"/>
                  <w:vAlign w:val="center"/>
                </w:tcPr>
                <w:p>
                  <w:pPr>
                    <w:pStyle w:val="167"/>
                  </w:pPr>
                  <w:r>
                    <w:t>环境空气</w:t>
                  </w:r>
                </w:p>
              </w:tc>
              <w:tc>
                <w:tcPr>
                  <w:tcW w:w="886" w:type="dxa"/>
                  <w:vAlign w:val="center"/>
                </w:tcPr>
                <w:p>
                  <w:pPr>
                    <w:pStyle w:val="167"/>
                  </w:pPr>
                  <w:r>
                    <w:t>门阶村散户</w:t>
                  </w:r>
                </w:p>
              </w:tc>
              <w:tc>
                <w:tcPr>
                  <w:tcW w:w="1422" w:type="dxa"/>
                  <w:vAlign w:val="center"/>
                </w:tcPr>
                <w:p>
                  <w:pPr>
                    <w:pStyle w:val="167"/>
                  </w:pPr>
                  <w:r>
                    <w:t>99°37'41.584"</w:t>
                  </w:r>
                </w:p>
              </w:tc>
              <w:tc>
                <w:tcPr>
                  <w:tcW w:w="1422" w:type="dxa"/>
                  <w:vAlign w:val="center"/>
                </w:tcPr>
                <w:p>
                  <w:pPr>
                    <w:pStyle w:val="167"/>
                  </w:pPr>
                  <w:r>
                    <w:t>25°41'09.374"</w:t>
                  </w:r>
                </w:p>
              </w:tc>
              <w:tc>
                <w:tcPr>
                  <w:tcW w:w="469" w:type="dxa"/>
                  <w:vAlign w:val="center"/>
                </w:tcPr>
                <w:p>
                  <w:pPr>
                    <w:pStyle w:val="167"/>
                  </w:pPr>
                  <w:r>
                    <w:t>二类</w:t>
                  </w:r>
                </w:p>
              </w:tc>
              <w:tc>
                <w:tcPr>
                  <w:tcW w:w="480" w:type="dxa"/>
                  <w:vAlign w:val="center"/>
                </w:tcPr>
                <w:p>
                  <w:pPr>
                    <w:pStyle w:val="167"/>
                  </w:pPr>
                  <w:r>
                    <w:t>西北侧</w:t>
                  </w:r>
                </w:p>
              </w:tc>
              <w:tc>
                <w:tcPr>
                  <w:tcW w:w="570" w:type="dxa"/>
                  <w:vAlign w:val="center"/>
                </w:tcPr>
                <w:p>
                  <w:pPr>
                    <w:pStyle w:val="167"/>
                  </w:pPr>
                  <w:r>
                    <w:t>238</w:t>
                  </w:r>
                </w:p>
              </w:tc>
              <w:tc>
                <w:tcPr>
                  <w:tcW w:w="663" w:type="dxa"/>
                  <w:vAlign w:val="center"/>
                </w:tcPr>
                <w:p>
                  <w:pPr>
                    <w:pStyle w:val="167"/>
                  </w:pPr>
                  <w:r>
                    <w:t>7户，30人</w:t>
                  </w:r>
                </w:p>
              </w:tc>
              <w:tc>
                <w:tcPr>
                  <w:tcW w:w="2002" w:type="dxa"/>
                  <w:vAlign w:val="center"/>
                </w:tcPr>
                <w:p>
                  <w:pPr>
                    <w:pStyle w:val="167"/>
                  </w:pPr>
                  <w: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69" w:type="dxa"/>
                  <w:vMerge w:val="continue"/>
                  <w:vAlign w:val="center"/>
                </w:tcPr>
                <w:p>
                  <w:pPr>
                    <w:pStyle w:val="167"/>
                  </w:pPr>
                </w:p>
              </w:tc>
              <w:tc>
                <w:tcPr>
                  <w:tcW w:w="886" w:type="dxa"/>
                  <w:vAlign w:val="center"/>
                </w:tcPr>
                <w:p>
                  <w:pPr>
                    <w:pStyle w:val="167"/>
                  </w:pPr>
                  <w:r>
                    <w:t>云龙公路分局河南石料场公路养护配套改扩建项目生活区</w:t>
                  </w:r>
                </w:p>
              </w:tc>
              <w:tc>
                <w:tcPr>
                  <w:tcW w:w="1422" w:type="dxa"/>
                  <w:vAlign w:val="center"/>
                </w:tcPr>
                <w:p>
                  <w:pPr>
                    <w:pStyle w:val="167"/>
                  </w:pPr>
                  <w:r>
                    <w:t>99°37'43.817"</w:t>
                  </w:r>
                </w:p>
              </w:tc>
              <w:tc>
                <w:tcPr>
                  <w:tcW w:w="1422" w:type="dxa"/>
                  <w:vAlign w:val="center"/>
                </w:tcPr>
                <w:p>
                  <w:pPr>
                    <w:pStyle w:val="167"/>
                  </w:pPr>
                  <w:r>
                    <w:t>25°41'04.046"</w:t>
                  </w:r>
                </w:p>
              </w:tc>
              <w:tc>
                <w:tcPr>
                  <w:tcW w:w="469" w:type="dxa"/>
                  <w:vAlign w:val="center"/>
                </w:tcPr>
                <w:p>
                  <w:pPr>
                    <w:pStyle w:val="167"/>
                  </w:pPr>
                  <w:r>
                    <w:t>二类</w:t>
                  </w:r>
                </w:p>
              </w:tc>
              <w:tc>
                <w:tcPr>
                  <w:tcW w:w="480" w:type="dxa"/>
                  <w:vAlign w:val="center"/>
                </w:tcPr>
                <w:p>
                  <w:pPr>
                    <w:pStyle w:val="167"/>
                  </w:pPr>
                  <w:r>
                    <w:t>西北侧</w:t>
                  </w:r>
                </w:p>
              </w:tc>
              <w:tc>
                <w:tcPr>
                  <w:tcW w:w="570" w:type="dxa"/>
                  <w:vAlign w:val="center"/>
                </w:tcPr>
                <w:p>
                  <w:pPr>
                    <w:pStyle w:val="167"/>
                  </w:pPr>
                  <w:r>
                    <w:t>62</w:t>
                  </w:r>
                </w:p>
              </w:tc>
              <w:tc>
                <w:tcPr>
                  <w:tcW w:w="663" w:type="dxa"/>
                  <w:vAlign w:val="center"/>
                </w:tcPr>
                <w:p>
                  <w:pPr>
                    <w:pStyle w:val="167"/>
                  </w:pPr>
                  <w:r>
                    <w:t>15人</w:t>
                  </w:r>
                </w:p>
              </w:tc>
              <w:tc>
                <w:tcPr>
                  <w:tcW w:w="2002" w:type="dxa"/>
                  <w:vAlign w:val="center"/>
                </w:tcPr>
                <w:p>
                  <w:pPr>
                    <w:pStyle w:val="167"/>
                  </w:pPr>
                  <w: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69" w:type="dxa"/>
                  <w:vAlign w:val="center"/>
                </w:tcPr>
                <w:p>
                  <w:pPr>
                    <w:pStyle w:val="167"/>
                  </w:pPr>
                  <w:r>
                    <w:t>地表水环境</w:t>
                  </w:r>
                </w:p>
              </w:tc>
              <w:tc>
                <w:tcPr>
                  <w:tcW w:w="886" w:type="dxa"/>
                  <w:vAlign w:val="center"/>
                </w:tcPr>
                <w:p>
                  <w:pPr>
                    <w:pStyle w:val="167"/>
                  </w:pPr>
                  <w:r>
                    <w:t>顺濞河（关坪河）</w:t>
                  </w:r>
                </w:p>
              </w:tc>
              <w:tc>
                <w:tcPr>
                  <w:tcW w:w="1422" w:type="dxa"/>
                  <w:vAlign w:val="center"/>
                </w:tcPr>
                <w:p>
                  <w:pPr>
                    <w:pStyle w:val="167"/>
                  </w:pPr>
                  <w:r>
                    <w:t>99°37'46.574"</w:t>
                  </w:r>
                </w:p>
              </w:tc>
              <w:tc>
                <w:tcPr>
                  <w:tcW w:w="1422" w:type="dxa"/>
                  <w:vAlign w:val="center"/>
                </w:tcPr>
                <w:p>
                  <w:pPr>
                    <w:pStyle w:val="167"/>
                  </w:pPr>
                  <w:r>
                    <w:t>25°41'03.718"</w:t>
                  </w:r>
                </w:p>
              </w:tc>
              <w:tc>
                <w:tcPr>
                  <w:tcW w:w="469" w:type="dxa"/>
                  <w:vAlign w:val="center"/>
                </w:tcPr>
                <w:p>
                  <w:pPr>
                    <w:pStyle w:val="167"/>
                  </w:pPr>
                  <w:r>
                    <w:t>Ⅱ类</w:t>
                  </w:r>
                </w:p>
              </w:tc>
              <w:tc>
                <w:tcPr>
                  <w:tcW w:w="480" w:type="dxa"/>
                  <w:vAlign w:val="center"/>
                </w:tcPr>
                <w:p>
                  <w:pPr>
                    <w:pStyle w:val="167"/>
                  </w:pPr>
                  <w:r>
                    <w:t>东侧</w:t>
                  </w:r>
                </w:p>
              </w:tc>
              <w:tc>
                <w:tcPr>
                  <w:tcW w:w="570" w:type="dxa"/>
                  <w:vAlign w:val="center"/>
                </w:tcPr>
                <w:p>
                  <w:pPr>
                    <w:pStyle w:val="167"/>
                  </w:pPr>
                  <w:r>
                    <w:t>3</w:t>
                  </w:r>
                </w:p>
              </w:tc>
              <w:tc>
                <w:tcPr>
                  <w:tcW w:w="663" w:type="dxa"/>
                  <w:vAlign w:val="center"/>
                </w:tcPr>
                <w:p>
                  <w:pPr>
                    <w:pStyle w:val="167"/>
                  </w:pPr>
                  <w:r>
                    <w:t>/</w:t>
                  </w:r>
                </w:p>
              </w:tc>
              <w:tc>
                <w:tcPr>
                  <w:tcW w:w="2002" w:type="dxa"/>
                  <w:vAlign w:val="center"/>
                </w:tcPr>
                <w:p>
                  <w:pPr>
                    <w:pStyle w:val="167"/>
                  </w:pPr>
                  <w:r>
                    <w:t>《地表水环境质量标准》（GB3838-2002）Ⅱ类标准</w:t>
                  </w:r>
                </w:p>
              </w:tc>
            </w:tr>
          </w:tbl>
          <w:p>
            <w:pPr>
              <w:pStyle w:val="86"/>
              <w:ind w:firstLine="480"/>
              <w:rPr>
                <w:rFonts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tc>
        <w:tc>
          <w:tcPr>
            <w:tcW w:w="8609" w:type="dxa"/>
            <w:vAlign w:val="center"/>
          </w:tcPr>
          <w:p>
            <w:pPr>
              <w:pStyle w:val="108"/>
              <w:rPr>
                <w:color w:val="auto"/>
              </w:rPr>
            </w:pPr>
            <w:r>
              <w:rPr>
                <w:color w:val="auto"/>
              </w:rPr>
              <w:t>3.3污染物排放标准</w:t>
            </w:r>
          </w:p>
          <w:p>
            <w:pPr>
              <w:pStyle w:val="111"/>
            </w:pPr>
            <w:r>
              <w:t>3.3.1废气排放标准</w:t>
            </w:r>
          </w:p>
          <w:p>
            <w:pPr>
              <w:pStyle w:val="139"/>
              <w:ind w:firstLine="482"/>
              <w:rPr>
                <w:b/>
              </w:rPr>
            </w:pPr>
            <w:r>
              <w:rPr>
                <w:b/>
              </w:rPr>
              <w:t>1、施工期</w:t>
            </w:r>
          </w:p>
          <w:p>
            <w:pPr>
              <w:pStyle w:val="147"/>
              <w:rPr>
                <w:b/>
              </w:rPr>
            </w:pPr>
            <w:r>
              <w:t>施工期无组织粉尘执行《大气污染物综合排放标准》（GB16297-1996）表2中颗粒物无组织排放监控浓度限值要求。</w:t>
            </w:r>
          </w:p>
          <w:p>
            <w:pPr>
              <w:pStyle w:val="168"/>
            </w:pPr>
            <w:r>
              <w:t>表3-4   无组织颗粒物排放标准</w:t>
            </w:r>
          </w:p>
          <w:tbl>
            <w:tblPr>
              <w:tblStyle w:val="28"/>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657"/>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255" w:type="dxa"/>
                  <w:vMerge w:val="restart"/>
                  <w:vAlign w:val="center"/>
                </w:tcPr>
                <w:p>
                  <w:pPr>
                    <w:pStyle w:val="146"/>
                    <w:rPr>
                      <w:b w:val="0"/>
                      <w:color w:val="auto"/>
                      <w:sz w:val="21"/>
                      <w:szCs w:val="21"/>
                    </w:rPr>
                  </w:pPr>
                  <w:r>
                    <w:rPr>
                      <w:b w:val="0"/>
                      <w:color w:val="auto"/>
                      <w:sz w:val="21"/>
                      <w:szCs w:val="21"/>
                    </w:rPr>
                    <w:t>污染物</w:t>
                  </w:r>
                </w:p>
              </w:tc>
              <w:tc>
                <w:tcPr>
                  <w:tcW w:w="6126" w:type="dxa"/>
                  <w:gridSpan w:val="2"/>
                  <w:vAlign w:val="center"/>
                </w:tcPr>
                <w:p>
                  <w:pPr>
                    <w:pStyle w:val="146"/>
                    <w:rPr>
                      <w:b w:val="0"/>
                      <w:color w:val="auto"/>
                      <w:sz w:val="21"/>
                      <w:szCs w:val="21"/>
                    </w:rPr>
                  </w:pPr>
                  <w:r>
                    <w:rPr>
                      <w:b w:val="0"/>
                      <w:color w:val="auto"/>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255" w:type="dxa"/>
                  <w:vMerge w:val="continue"/>
                  <w:vAlign w:val="center"/>
                </w:tcPr>
                <w:p>
                  <w:pPr>
                    <w:pStyle w:val="146"/>
                    <w:rPr>
                      <w:b w:val="0"/>
                      <w:color w:val="auto"/>
                      <w:sz w:val="21"/>
                      <w:szCs w:val="21"/>
                    </w:rPr>
                  </w:pPr>
                </w:p>
              </w:tc>
              <w:tc>
                <w:tcPr>
                  <w:tcW w:w="2657" w:type="dxa"/>
                  <w:vAlign w:val="center"/>
                </w:tcPr>
                <w:p>
                  <w:pPr>
                    <w:pStyle w:val="146"/>
                    <w:rPr>
                      <w:b w:val="0"/>
                      <w:color w:val="auto"/>
                      <w:sz w:val="21"/>
                      <w:szCs w:val="21"/>
                    </w:rPr>
                  </w:pPr>
                  <w:r>
                    <w:rPr>
                      <w:b w:val="0"/>
                      <w:color w:val="auto"/>
                      <w:sz w:val="21"/>
                      <w:szCs w:val="21"/>
                    </w:rPr>
                    <w:t>监控点</w:t>
                  </w:r>
                </w:p>
              </w:tc>
              <w:tc>
                <w:tcPr>
                  <w:tcW w:w="3469" w:type="dxa"/>
                  <w:vAlign w:val="center"/>
                </w:tcPr>
                <w:p>
                  <w:pPr>
                    <w:pStyle w:val="146"/>
                    <w:rPr>
                      <w:b w:val="0"/>
                      <w:color w:val="auto"/>
                      <w:sz w:val="21"/>
                      <w:szCs w:val="21"/>
                    </w:rPr>
                  </w:pPr>
                  <w:r>
                    <w:rPr>
                      <w:b w:val="0"/>
                      <w:color w:val="auto"/>
                      <w:sz w:val="21"/>
                      <w:szCs w:val="21"/>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55" w:type="dxa"/>
                  <w:vAlign w:val="center"/>
                </w:tcPr>
                <w:p>
                  <w:pPr>
                    <w:pStyle w:val="146"/>
                    <w:rPr>
                      <w:b w:val="0"/>
                      <w:color w:val="auto"/>
                      <w:sz w:val="21"/>
                      <w:szCs w:val="21"/>
                    </w:rPr>
                  </w:pPr>
                  <w:r>
                    <w:rPr>
                      <w:b w:val="0"/>
                      <w:color w:val="auto"/>
                      <w:sz w:val="21"/>
                      <w:szCs w:val="21"/>
                    </w:rPr>
                    <w:t>颗粒物</w:t>
                  </w:r>
                </w:p>
              </w:tc>
              <w:tc>
                <w:tcPr>
                  <w:tcW w:w="2657" w:type="dxa"/>
                  <w:vAlign w:val="center"/>
                </w:tcPr>
                <w:p>
                  <w:pPr>
                    <w:pStyle w:val="146"/>
                    <w:rPr>
                      <w:b w:val="0"/>
                      <w:color w:val="auto"/>
                      <w:sz w:val="21"/>
                      <w:szCs w:val="21"/>
                    </w:rPr>
                  </w:pPr>
                  <w:r>
                    <w:rPr>
                      <w:b w:val="0"/>
                      <w:color w:val="auto"/>
                      <w:sz w:val="21"/>
                      <w:szCs w:val="21"/>
                    </w:rPr>
                    <w:t>周界外浓度最高点</w:t>
                  </w:r>
                </w:p>
              </w:tc>
              <w:tc>
                <w:tcPr>
                  <w:tcW w:w="3469" w:type="dxa"/>
                  <w:vAlign w:val="center"/>
                </w:tcPr>
                <w:p>
                  <w:pPr>
                    <w:pStyle w:val="146"/>
                    <w:rPr>
                      <w:b w:val="0"/>
                      <w:color w:val="auto"/>
                      <w:sz w:val="21"/>
                      <w:szCs w:val="21"/>
                    </w:rPr>
                  </w:pPr>
                  <w:r>
                    <w:rPr>
                      <w:b w:val="0"/>
                      <w:color w:val="auto"/>
                      <w:sz w:val="21"/>
                      <w:szCs w:val="21"/>
                    </w:rPr>
                    <w:t>1.0</w:t>
                  </w:r>
                </w:p>
              </w:tc>
            </w:tr>
          </w:tbl>
          <w:p>
            <w:pPr>
              <w:pStyle w:val="111"/>
            </w:pPr>
            <w:r>
              <w:t>2、运营期</w:t>
            </w:r>
          </w:p>
          <w:p>
            <w:pPr>
              <w:pStyle w:val="147"/>
            </w:pPr>
            <w:r>
              <w:t>①项目营运期沥青烟气有组织排放执行《大气污染物综合排放标准》（GB16297-1996）“表2”二级排放标准。标准值见表3-5。</w:t>
            </w:r>
          </w:p>
          <w:p>
            <w:pPr>
              <w:pStyle w:val="168"/>
            </w:pPr>
            <w:r>
              <w:t>表3-5   大气污染物综合排放标准（表2）</w:t>
            </w:r>
          </w:p>
          <w:tbl>
            <w:tblPr>
              <w:tblStyle w:val="28"/>
              <w:tblW w:w="7981"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025"/>
              <w:gridCol w:w="1502"/>
              <w:gridCol w:w="118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PrEx>
              <w:trPr>
                <w:trHeight w:val="161" w:hRule="atLeast"/>
                <w:jc w:val="center"/>
              </w:trPr>
              <w:tc>
                <w:tcPr>
                  <w:tcW w:w="1266" w:type="dxa"/>
                  <w:vMerge w:val="restart"/>
                  <w:vAlign w:val="center"/>
                </w:tcPr>
                <w:p>
                  <w:pPr>
                    <w:pStyle w:val="167"/>
                  </w:pPr>
                  <w:r>
                    <w:t>污染物名称</w:t>
                  </w:r>
                </w:p>
              </w:tc>
              <w:tc>
                <w:tcPr>
                  <w:tcW w:w="4025" w:type="dxa"/>
                  <w:vMerge w:val="restart"/>
                  <w:vAlign w:val="center"/>
                </w:tcPr>
                <w:p>
                  <w:pPr>
                    <w:pStyle w:val="167"/>
                  </w:pPr>
                  <w:r>
                    <w:t>最高允许排放浓度mg/m³</w:t>
                  </w:r>
                </w:p>
              </w:tc>
              <w:tc>
                <w:tcPr>
                  <w:tcW w:w="2690" w:type="dxa"/>
                  <w:gridSpan w:val="2"/>
                  <w:vAlign w:val="center"/>
                </w:tcPr>
                <w:p>
                  <w:pPr>
                    <w:pStyle w:val="167"/>
                  </w:pPr>
                  <w:r>
                    <w:t>最高允许排放速率（kg/h）</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PrEx>
              <w:trPr>
                <w:trHeight w:val="161" w:hRule="atLeast"/>
                <w:jc w:val="center"/>
              </w:trPr>
              <w:tc>
                <w:tcPr>
                  <w:tcW w:w="1266" w:type="dxa"/>
                  <w:vMerge w:val="continue"/>
                  <w:vAlign w:val="center"/>
                </w:tcPr>
                <w:p>
                  <w:pPr>
                    <w:pStyle w:val="167"/>
                  </w:pPr>
                </w:p>
              </w:tc>
              <w:tc>
                <w:tcPr>
                  <w:tcW w:w="4025" w:type="dxa"/>
                  <w:vMerge w:val="continue"/>
                  <w:vAlign w:val="center"/>
                </w:tcPr>
                <w:p>
                  <w:pPr>
                    <w:pStyle w:val="167"/>
                  </w:pPr>
                </w:p>
              </w:tc>
              <w:tc>
                <w:tcPr>
                  <w:tcW w:w="1502" w:type="dxa"/>
                  <w:vAlign w:val="center"/>
                </w:tcPr>
                <w:p>
                  <w:pPr>
                    <w:pStyle w:val="167"/>
                  </w:pPr>
                  <w:r>
                    <w:t>排气筒高度m</w:t>
                  </w:r>
                </w:p>
              </w:tc>
              <w:tc>
                <w:tcPr>
                  <w:tcW w:w="1188" w:type="dxa"/>
                  <w:vAlign w:val="center"/>
                </w:tcPr>
                <w:p>
                  <w:pPr>
                    <w:pStyle w:val="167"/>
                  </w:pPr>
                  <w:r>
                    <w:t>二级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jc w:val="center"/>
              </w:trPr>
              <w:tc>
                <w:tcPr>
                  <w:tcW w:w="1266" w:type="dxa"/>
                  <w:vAlign w:val="center"/>
                </w:tcPr>
                <w:p>
                  <w:pPr>
                    <w:pStyle w:val="167"/>
                  </w:pPr>
                  <w:r>
                    <w:t>苯并[a]芘</w:t>
                  </w:r>
                </w:p>
              </w:tc>
              <w:tc>
                <w:tcPr>
                  <w:tcW w:w="4025" w:type="dxa"/>
                  <w:vAlign w:val="center"/>
                </w:tcPr>
                <w:p>
                  <w:pPr>
                    <w:pStyle w:val="167"/>
                  </w:pPr>
                  <w:r>
                    <w:t>0.30×10</w:t>
                  </w:r>
                  <w:r>
                    <w:rPr>
                      <w:vertAlign w:val="superscript"/>
                    </w:rPr>
                    <w:t>－3</w:t>
                  </w:r>
                  <w:r>
                    <w:t>（沥青及碳素制品生产和加工）</w:t>
                  </w:r>
                </w:p>
              </w:tc>
              <w:tc>
                <w:tcPr>
                  <w:tcW w:w="1502" w:type="dxa"/>
                  <w:vAlign w:val="center"/>
                </w:tcPr>
                <w:p>
                  <w:pPr>
                    <w:pStyle w:val="167"/>
                  </w:pPr>
                  <w:r>
                    <w:t>15</w:t>
                  </w:r>
                </w:p>
              </w:tc>
              <w:tc>
                <w:tcPr>
                  <w:tcW w:w="1188" w:type="dxa"/>
                  <w:vAlign w:val="center"/>
                </w:tcPr>
                <w:p>
                  <w:pPr>
                    <w:pStyle w:val="167"/>
                  </w:pPr>
                  <w:r>
                    <w:t>0.050×10</w:t>
                  </w:r>
                  <w:r>
                    <w:rPr>
                      <w:vertAlign w:val="superscript"/>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jc w:val="center"/>
              </w:trPr>
              <w:tc>
                <w:tcPr>
                  <w:tcW w:w="1266" w:type="dxa"/>
                  <w:vAlign w:val="center"/>
                </w:tcPr>
                <w:p>
                  <w:pPr>
                    <w:pStyle w:val="167"/>
                  </w:pPr>
                  <w:r>
                    <w:t>沥青烟</w:t>
                  </w:r>
                </w:p>
              </w:tc>
              <w:tc>
                <w:tcPr>
                  <w:tcW w:w="4025" w:type="dxa"/>
                  <w:vAlign w:val="center"/>
                </w:tcPr>
                <w:p>
                  <w:pPr>
                    <w:pStyle w:val="167"/>
                  </w:pPr>
                  <w:r>
                    <w:t>75（建筑搅拌）</w:t>
                  </w:r>
                </w:p>
              </w:tc>
              <w:tc>
                <w:tcPr>
                  <w:tcW w:w="1502" w:type="dxa"/>
                  <w:vAlign w:val="center"/>
                </w:tcPr>
                <w:p>
                  <w:pPr>
                    <w:pStyle w:val="167"/>
                  </w:pPr>
                  <w:r>
                    <w:t>15</w:t>
                  </w:r>
                </w:p>
              </w:tc>
              <w:tc>
                <w:tcPr>
                  <w:tcW w:w="1188" w:type="dxa"/>
                  <w:vAlign w:val="center"/>
                </w:tcPr>
                <w:p>
                  <w:pPr>
                    <w:pStyle w:val="167"/>
                  </w:pPr>
                  <w:r>
                    <w:t>0.18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jc w:val="center"/>
              </w:trPr>
              <w:tc>
                <w:tcPr>
                  <w:tcW w:w="1266" w:type="dxa"/>
                  <w:vAlign w:val="center"/>
                </w:tcPr>
                <w:p>
                  <w:pPr>
                    <w:pStyle w:val="167"/>
                  </w:pPr>
                  <w:r>
                    <w:t>非甲烷总烃</w:t>
                  </w:r>
                </w:p>
              </w:tc>
              <w:tc>
                <w:tcPr>
                  <w:tcW w:w="4025" w:type="dxa"/>
                  <w:vAlign w:val="center"/>
                </w:tcPr>
                <w:p>
                  <w:pPr>
                    <w:pStyle w:val="167"/>
                  </w:pPr>
                  <w:r>
                    <w:t>120</w:t>
                  </w:r>
                </w:p>
              </w:tc>
              <w:tc>
                <w:tcPr>
                  <w:tcW w:w="1502" w:type="dxa"/>
                  <w:vAlign w:val="center"/>
                </w:tcPr>
                <w:p>
                  <w:pPr>
                    <w:pStyle w:val="167"/>
                  </w:pPr>
                  <w:r>
                    <w:t>15</w:t>
                  </w:r>
                </w:p>
              </w:tc>
              <w:tc>
                <w:tcPr>
                  <w:tcW w:w="1188" w:type="dxa"/>
                  <w:vAlign w:val="center"/>
                </w:tcPr>
                <w:p>
                  <w:pPr>
                    <w:pStyle w:val="167"/>
                  </w:pPr>
                  <w:r>
                    <w:t>10</w:t>
                  </w:r>
                </w:p>
              </w:tc>
            </w:tr>
          </w:tbl>
          <w:p>
            <w:pPr>
              <w:pStyle w:val="147"/>
            </w:pPr>
            <w:r>
              <w:t>②运营期采用油气两用燃烧机喷入火焰对滚筒内砂石料进行烘干，属于工业炉窑中干燥炉（窑），产生的废气有组织排放执行《工业炉窑大气污染物排放标准》（GB 16297-1996）二级标准排放限值要求；其中氮氧化物有组织排放参照执行《大气污染物综合排放标准》（GB 16297-1996）中“表2”中二级标准限值要求，标准值见表3-6。</w:t>
            </w:r>
          </w:p>
          <w:p>
            <w:pPr>
              <w:pStyle w:val="168"/>
            </w:pPr>
            <w:r>
              <w:t>表3-6   工业炉窑大气污染物排放标准</w:t>
            </w:r>
          </w:p>
          <w:tbl>
            <w:tblPr>
              <w:tblStyle w:val="28"/>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301"/>
              <w:gridCol w:w="1461"/>
              <w:gridCol w:w="1416"/>
              <w:gridCol w:w="13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2" w:type="dxa"/>
                  <w:vMerge w:val="restart"/>
                  <w:vAlign w:val="center"/>
                </w:tcPr>
                <w:p>
                  <w:pPr>
                    <w:pStyle w:val="167"/>
                  </w:pPr>
                  <w:r>
                    <w:t>炉窑类别</w:t>
                  </w:r>
                </w:p>
              </w:tc>
              <w:tc>
                <w:tcPr>
                  <w:tcW w:w="1301" w:type="dxa"/>
                  <w:vMerge w:val="restart"/>
                  <w:vAlign w:val="center"/>
                </w:tcPr>
                <w:p>
                  <w:pPr>
                    <w:pStyle w:val="167"/>
                  </w:pPr>
                  <w:r>
                    <w:t>标准级别</w:t>
                  </w:r>
                </w:p>
              </w:tc>
              <w:tc>
                <w:tcPr>
                  <w:tcW w:w="4267" w:type="dxa"/>
                  <w:gridSpan w:val="3"/>
                  <w:vAlign w:val="center"/>
                </w:tcPr>
                <w:p>
                  <w:pPr>
                    <w:pStyle w:val="167"/>
                  </w:pPr>
                  <w:r>
                    <w:t>排放限值</w:t>
                  </w:r>
                </w:p>
              </w:tc>
              <w:tc>
                <w:tcPr>
                  <w:tcW w:w="1390" w:type="dxa"/>
                  <w:vMerge w:val="restart"/>
                </w:tcPr>
                <w:p>
                  <w:pPr>
                    <w:pStyle w:val="167"/>
                  </w:pPr>
                  <w:r>
                    <w:t>排气筒最低允许高度（m）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2" w:type="dxa"/>
                  <w:vMerge w:val="continue"/>
                  <w:vAlign w:val="center"/>
                </w:tcPr>
                <w:p>
                  <w:pPr>
                    <w:pStyle w:val="167"/>
                  </w:pPr>
                </w:p>
              </w:tc>
              <w:tc>
                <w:tcPr>
                  <w:tcW w:w="1301" w:type="dxa"/>
                  <w:vMerge w:val="continue"/>
                  <w:vAlign w:val="center"/>
                </w:tcPr>
                <w:p>
                  <w:pPr>
                    <w:pStyle w:val="167"/>
                  </w:pPr>
                </w:p>
              </w:tc>
              <w:tc>
                <w:tcPr>
                  <w:tcW w:w="1461" w:type="dxa"/>
                  <w:vAlign w:val="center"/>
                </w:tcPr>
                <w:p>
                  <w:pPr>
                    <w:pStyle w:val="167"/>
                  </w:pPr>
                  <w:r>
                    <w:t>烟（粉）尘浓度（mg/m</w:t>
                  </w:r>
                  <w:r>
                    <w:rPr>
                      <w:vertAlign w:val="superscript"/>
                    </w:rPr>
                    <w:t>3</w:t>
                  </w:r>
                  <w:r>
                    <w:t>）</w:t>
                  </w:r>
                </w:p>
              </w:tc>
              <w:tc>
                <w:tcPr>
                  <w:tcW w:w="1416" w:type="dxa"/>
                  <w:vAlign w:val="center"/>
                </w:tcPr>
                <w:p>
                  <w:pPr>
                    <w:pStyle w:val="167"/>
                  </w:pPr>
                  <w:r>
                    <w:t>烟气黑度</w:t>
                  </w:r>
                </w:p>
                <w:p>
                  <w:pPr>
                    <w:pStyle w:val="167"/>
                  </w:pPr>
                  <w:r>
                    <w:t>（林格曼级）</w:t>
                  </w:r>
                </w:p>
              </w:tc>
              <w:tc>
                <w:tcPr>
                  <w:tcW w:w="1390" w:type="dxa"/>
                </w:tcPr>
                <w:p>
                  <w:pPr>
                    <w:pStyle w:val="167"/>
                  </w:pPr>
                  <w:r>
                    <w:t>二氧化硫（mg/m</w:t>
                  </w:r>
                  <w:r>
                    <w:rPr>
                      <w:vertAlign w:val="superscript"/>
                    </w:rPr>
                    <w:t>3</w:t>
                  </w:r>
                  <w:r>
                    <w:t>）</w:t>
                  </w:r>
                </w:p>
              </w:tc>
              <w:tc>
                <w:tcPr>
                  <w:tcW w:w="1390" w:type="dxa"/>
                  <w:vMerge w:val="continue"/>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2" w:type="dxa"/>
                  <w:vAlign w:val="center"/>
                </w:tcPr>
                <w:p>
                  <w:pPr>
                    <w:pStyle w:val="167"/>
                  </w:pPr>
                  <w:r>
                    <w:t>干燥炉（窑）</w:t>
                  </w:r>
                </w:p>
              </w:tc>
              <w:tc>
                <w:tcPr>
                  <w:tcW w:w="1301" w:type="dxa"/>
                  <w:vAlign w:val="center"/>
                </w:tcPr>
                <w:p>
                  <w:pPr>
                    <w:pStyle w:val="167"/>
                  </w:pPr>
                  <w:r>
                    <w:t>二级</w:t>
                  </w:r>
                </w:p>
              </w:tc>
              <w:tc>
                <w:tcPr>
                  <w:tcW w:w="1461" w:type="dxa"/>
                  <w:vAlign w:val="center"/>
                </w:tcPr>
                <w:p>
                  <w:pPr>
                    <w:pStyle w:val="167"/>
                  </w:pPr>
                  <w:r>
                    <w:t>200</w:t>
                  </w:r>
                </w:p>
              </w:tc>
              <w:tc>
                <w:tcPr>
                  <w:tcW w:w="1416" w:type="dxa"/>
                  <w:vAlign w:val="center"/>
                </w:tcPr>
                <w:p>
                  <w:pPr>
                    <w:pStyle w:val="167"/>
                  </w:pPr>
                  <w:r>
                    <w:t>1</w:t>
                  </w:r>
                </w:p>
              </w:tc>
              <w:tc>
                <w:tcPr>
                  <w:tcW w:w="1390" w:type="dxa"/>
                </w:tcPr>
                <w:p>
                  <w:pPr>
                    <w:pStyle w:val="167"/>
                  </w:pPr>
                  <w:r>
                    <w:t>/</w:t>
                  </w:r>
                </w:p>
              </w:tc>
              <w:tc>
                <w:tcPr>
                  <w:tcW w:w="1390" w:type="dxa"/>
                </w:tcPr>
                <w:p>
                  <w:pPr>
                    <w:pStyle w:val="167"/>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2" w:type="dxa"/>
                  <w:vAlign w:val="center"/>
                </w:tcPr>
                <w:p>
                  <w:pPr>
                    <w:pStyle w:val="167"/>
                  </w:pPr>
                  <w:r>
                    <w:t>燃油炉窑</w:t>
                  </w:r>
                </w:p>
              </w:tc>
              <w:tc>
                <w:tcPr>
                  <w:tcW w:w="1301" w:type="dxa"/>
                  <w:vAlign w:val="center"/>
                </w:tcPr>
                <w:p>
                  <w:pPr>
                    <w:pStyle w:val="167"/>
                  </w:pPr>
                  <w:r>
                    <w:t>二级</w:t>
                  </w:r>
                </w:p>
              </w:tc>
              <w:tc>
                <w:tcPr>
                  <w:tcW w:w="1461" w:type="dxa"/>
                  <w:vAlign w:val="center"/>
                </w:tcPr>
                <w:p>
                  <w:pPr>
                    <w:pStyle w:val="167"/>
                  </w:pPr>
                  <w:r>
                    <w:t>/</w:t>
                  </w:r>
                </w:p>
              </w:tc>
              <w:tc>
                <w:tcPr>
                  <w:tcW w:w="1416" w:type="dxa"/>
                  <w:vAlign w:val="center"/>
                </w:tcPr>
                <w:p>
                  <w:pPr>
                    <w:pStyle w:val="167"/>
                  </w:pPr>
                  <w:r>
                    <w:t>/</w:t>
                  </w:r>
                </w:p>
              </w:tc>
              <w:tc>
                <w:tcPr>
                  <w:tcW w:w="1390" w:type="dxa"/>
                </w:tcPr>
                <w:p>
                  <w:pPr>
                    <w:pStyle w:val="167"/>
                  </w:pPr>
                  <w:r>
                    <w:t>850</w:t>
                  </w:r>
                </w:p>
              </w:tc>
              <w:tc>
                <w:tcPr>
                  <w:tcW w:w="1390" w:type="dxa"/>
                </w:tcPr>
                <w:p>
                  <w:pPr>
                    <w:pStyle w:val="167"/>
                  </w:pPr>
                  <w:r>
                    <w:t>15</w:t>
                  </w:r>
                </w:p>
              </w:tc>
            </w:tr>
          </w:tbl>
          <w:p>
            <w:pPr>
              <w:pStyle w:val="151"/>
              <w:rPr>
                <w:color w:val="auto"/>
              </w:rPr>
            </w:pPr>
            <w:r>
              <w:rPr>
                <w:color w:val="auto"/>
              </w:rPr>
              <w:t>表3-7   大气污染物综合排放标准</w:t>
            </w:r>
          </w:p>
          <w:tbl>
            <w:tblPr>
              <w:tblStyle w:val="28"/>
              <w:tblW w:w="8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936"/>
              <w:gridCol w:w="2191"/>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48" w:type="dxa"/>
                  <w:vMerge w:val="restart"/>
                  <w:vAlign w:val="center"/>
                </w:tcPr>
                <w:p>
                  <w:pPr>
                    <w:pStyle w:val="167"/>
                  </w:pPr>
                  <w:r>
                    <w:t>污染物</w:t>
                  </w:r>
                </w:p>
              </w:tc>
              <w:tc>
                <w:tcPr>
                  <w:tcW w:w="2936" w:type="dxa"/>
                  <w:vMerge w:val="restart"/>
                  <w:vAlign w:val="center"/>
                </w:tcPr>
                <w:p>
                  <w:pPr>
                    <w:pStyle w:val="167"/>
                  </w:pPr>
                  <w:r>
                    <w:t>最高允许排放浓度（mg/m</w:t>
                  </w:r>
                  <w:r>
                    <w:rPr>
                      <w:vertAlign w:val="superscript"/>
                    </w:rPr>
                    <w:t>3</w:t>
                  </w:r>
                  <w:r>
                    <w:t>）</w:t>
                  </w:r>
                </w:p>
              </w:tc>
              <w:tc>
                <w:tcPr>
                  <w:tcW w:w="4389" w:type="dxa"/>
                  <w:gridSpan w:val="2"/>
                  <w:vAlign w:val="center"/>
                </w:tcPr>
                <w:p>
                  <w:pPr>
                    <w:pStyle w:val="167"/>
                  </w:pPr>
                  <w: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148" w:type="dxa"/>
                  <w:vMerge w:val="continue"/>
                  <w:vAlign w:val="center"/>
                </w:tcPr>
                <w:p>
                  <w:pPr>
                    <w:pStyle w:val="167"/>
                  </w:pPr>
                </w:p>
              </w:tc>
              <w:tc>
                <w:tcPr>
                  <w:tcW w:w="2936" w:type="dxa"/>
                  <w:vMerge w:val="continue"/>
                  <w:vAlign w:val="center"/>
                </w:tcPr>
                <w:p>
                  <w:pPr>
                    <w:pStyle w:val="167"/>
                  </w:pPr>
                </w:p>
              </w:tc>
              <w:tc>
                <w:tcPr>
                  <w:tcW w:w="2191" w:type="dxa"/>
                  <w:vAlign w:val="center"/>
                </w:tcPr>
                <w:p>
                  <w:pPr>
                    <w:pStyle w:val="167"/>
                  </w:pPr>
                  <w:r>
                    <w:t>排气筒高度（m）</w:t>
                  </w:r>
                </w:p>
              </w:tc>
              <w:tc>
                <w:tcPr>
                  <w:tcW w:w="2198" w:type="dxa"/>
                  <w:vAlign w:val="center"/>
                </w:tcPr>
                <w:p>
                  <w:pPr>
                    <w:pStyle w:val="167"/>
                  </w:pPr>
                  <w: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48" w:type="dxa"/>
                  <w:vAlign w:val="center"/>
                </w:tcPr>
                <w:p>
                  <w:pPr>
                    <w:pStyle w:val="167"/>
                  </w:pPr>
                  <w:r>
                    <w:t>氮氧化物</w:t>
                  </w:r>
                </w:p>
              </w:tc>
              <w:tc>
                <w:tcPr>
                  <w:tcW w:w="2936" w:type="dxa"/>
                  <w:vAlign w:val="center"/>
                </w:tcPr>
                <w:p>
                  <w:pPr>
                    <w:pStyle w:val="167"/>
                  </w:pPr>
                  <w:r>
                    <w:t>240（硝酸使用和其它）</w:t>
                  </w:r>
                </w:p>
              </w:tc>
              <w:tc>
                <w:tcPr>
                  <w:tcW w:w="2191" w:type="dxa"/>
                  <w:vAlign w:val="center"/>
                </w:tcPr>
                <w:p>
                  <w:pPr>
                    <w:pStyle w:val="167"/>
                  </w:pPr>
                  <w:r>
                    <w:t>15</w:t>
                  </w:r>
                </w:p>
              </w:tc>
              <w:tc>
                <w:tcPr>
                  <w:tcW w:w="2198" w:type="dxa"/>
                  <w:vAlign w:val="center"/>
                </w:tcPr>
                <w:p>
                  <w:pPr>
                    <w:pStyle w:val="167"/>
                  </w:pPr>
                  <w:r>
                    <w:t>0.77</w:t>
                  </w:r>
                </w:p>
              </w:tc>
            </w:tr>
          </w:tbl>
          <w:p>
            <w:pPr>
              <w:pStyle w:val="147"/>
            </w:pPr>
            <w:r>
              <w:t>③营运期厂界废气无组织排放执行《大气污染物综合排放标准》（GB 16297-1996）中“表2”中无组织排放监控浓度限值要求，标准值见表3-8。</w:t>
            </w:r>
          </w:p>
          <w:p>
            <w:pPr>
              <w:pStyle w:val="168"/>
            </w:pPr>
            <w:r>
              <w:t>表3-8   大气污染物综合排放标准</w:t>
            </w:r>
          </w:p>
          <w:tbl>
            <w:tblPr>
              <w:tblStyle w:val="28"/>
              <w:tblW w:w="8388"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3392"/>
              <w:gridCol w:w="289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102" w:type="dxa"/>
                  <w:vMerge w:val="restart"/>
                  <w:vAlign w:val="center"/>
                </w:tcPr>
                <w:p>
                  <w:pPr>
                    <w:pStyle w:val="167"/>
                  </w:pPr>
                  <w:r>
                    <w:t>污染物名称</w:t>
                  </w:r>
                </w:p>
              </w:tc>
              <w:tc>
                <w:tcPr>
                  <w:tcW w:w="6286" w:type="dxa"/>
                  <w:gridSpan w:val="2"/>
                  <w:vAlign w:val="center"/>
                </w:tcPr>
                <w:p>
                  <w:pPr>
                    <w:pStyle w:val="167"/>
                  </w:pPr>
                  <w:r>
                    <w:t>无组织排放监控浓度限值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102" w:type="dxa"/>
                  <w:vMerge w:val="continue"/>
                  <w:vAlign w:val="center"/>
                </w:tcPr>
                <w:p>
                  <w:pPr>
                    <w:pStyle w:val="167"/>
                  </w:pPr>
                </w:p>
              </w:tc>
              <w:tc>
                <w:tcPr>
                  <w:tcW w:w="3392" w:type="dxa"/>
                  <w:vAlign w:val="center"/>
                </w:tcPr>
                <w:p>
                  <w:pPr>
                    <w:pStyle w:val="167"/>
                  </w:pPr>
                  <w:r>
                    <w:t>监控点</w:t>
                  </w:r>
                </w:p>
              </w:tc>
              <w:tc>
                <w:tcPr>
                  <w:tcW w:w="2894" w:type="dxa"/>
                  <w:vAlign w:val="center"/>
                </w:tcPr>
                <w:p>
                  <w:pPr>
                    <w:pStyle w:val="167"/>
                  </w:pPr>
                  <w:r>
                    <w:t>浓度（mg/m</w:t>
                  </w:r>
                  <w:r>
                    <w:rPr>
                      <w:vertAlign w:val="superscript"/>
                    </w:rPr>
                    <w:t>3</w:t>
                  </w:r>
                  <w: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102" w:type="dxa"/>
                  <w:vAlign w:val="center"/>
                </w:tcPr>
                <w:p>
                  <w:pPr>
                    <w:pStyle w:val="167"/>
                  </w:pPr>
                  <w:r>
                    <w:t>颗粒物</w:t>
                  </w:r>
                </w:p>
              </w:tc>
              <w:tc>
                <w:tcPr>
                  <w:tcW w:w="3392" w:type="dxa"/>
                  <w:vAlign w:val="center"/>
                </w:tcPr>
                <w:p>
                  <w:pPr>
                    <w:pStyle w:val="167"/>
                  </w:pPr>
                  <w:r>
                    <w:t>周界外浓度最高点</w:t>
                  </w:r>
                </w:p>
              </w:tc>
              <w:tc>
                <w:tcPr>
                  <w:tcW w:w="2894" w:type="dxa"/>
                  <w:vAlign w:val="center"/>
                </w:tcPr>
                <w:p>
                  <w:pPr>
                    <w:pStyle w:val="167"/>
                  </w:pPr>
                  <w: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102" w:type="dxa"/>
                  <w:vAlign w:val="center"/>
                </w:tcPr>
                <w:p>
                  <w:pPr>
                    <w:pStyle w:val="167"/>
                  </w:pPr>
                  <w:r>
                    <w:t>苯并[a]芘</w:t>
                  </w:r>
                </w:p>
              </w:tc>
              <w:tc>
                <w:tcPr>
                  <w:tcW w:w="3392" w:type="dxa"/>
                  <w:vAlign w:val="center"/>
                </w:tcPr>
                <w:p>
                  <w:pPr>
                    <w:pStyle w:val="167"/>
                  </w:pPr>
                  <w:r>
                    <w:t>周界外浓度最高点</w:t>
                  </w:r>
                </w:p>
              </w:tc>
              <w:tc>
                <w:tcPr>
                  <w:tcW w:w="2894" w:type="dxa"/>
                  <w:vAlign w:val="center"/>
                </w:tcPr>
                <w:p>
                  <w:pPr>
                    <w:pStyle w:val="167"/>
                  </w:pPr>
                  <w:r>
                    <w:t>0.008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102" w:type="dxa"/>
                  <w:vAlign w:val="center"/>
                </w:tcPr>
                <w:p>
                  <w:pPr>
                    <w:pStyle w:val="167"/>
                  </w:pPr>
                  <w:r>
                    <w:t>沥青烟</w:t>
                  </w:r>
                </w:p>
              </w:tc>
              <w:tc>
                <w:tcPr>
                  <w:tcW w:w="6286" w:type="dxa"/>
                  <w:gridSpan w:val="2"/>
                  <w:vAlign w:val="center"/>
                </w:tcPr>
                <w:p>
                  <w:pPr>
                    <w:pStyle w:val="167"/>
                  </w:pPr>
                  <w:r>
                    <w:t>生产设备不得有明显的无组织排放存在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102" w:type="dxa"/>
                  <w:vAlign w:val="center"/>
                </w:tcPr>
                <w:p>
                  <w:pPr>
                    <w:pStyle w:val="167"/>
                  </w:pPr>
                  <w:r>
                    <w:t>非甲烷总烃</w:t>
                  </w:r>
                </w:p>
              </w:tc>
              <w:tc>
                <w:tcPr>
                  <w:tcW w:w="3392" w:type="dxa"/>
                  <w:vAlign w:val="center"/>
                </w:tcPr>
                <w:p>
                  <w:pPr>
                    <w:pStyle w:val="167"/>
                  </w:pPr>
                  <w:r>
                    <w:t>周界外浓度最高点</w:t>
                  </w:r>
                </w:p>
              </w:tc>
              <w:tc>
                <w:tcPr>
                  <w:tcW w:w="2894" w:type="dxa"/>
                  <w:vAlign w:val="center"/>
                </w:tcPr>
                <w:p>
                  <w:pPr>
                    <w:pStyle w:val="167"/>
                  </w:pPr>
                  <w:r>
                    <w:t>4.0</w:t>
                  </w:r>
                </w:p>
              </w:tc>
            </w:tr>
          </w:tbl>
          <w:p>
            <w:pPr>
              <w:pStyle w:val="111"/>
            </w:pPr>
            <w:r>
              <w:t>3.3.2废水污染物排放标准</w:t>
            </w:r>
          </w:p>
          <w:p>
            <w:pPr>
              <w:pStyle w:val="111"/>
            </w:pPr>
            <w:r>
              <w:t>1、施工期</w:t>
            </w:r>
          </w:p>
          <w:p>
            <w:pPr>
              <w:pStyle w:val="147"/>
            </w:pPr>
            <w:r>
              <w:t>本项目施工期主要进行柴油储罐及沥青储罐区围堰建设，项目区进场道路硬化。施工废水经拟建1个容积为1m³的临时沉淀池处理后回用于施工区洒水降尘；项目区不设食宿和施工营地，施工期生活污水依托云龙公路分局河南石料场公路养护配套改扩建项目现有旱厕处理后委托附近村庄村民清掏用于农田施肥，不外排，故施工期不设废水排放标准。</w:t>
            </w:r>
          </w:p>
          <w:p>
            <w:pPr>
              <w:pStyle w:val="111"/>
            </w:pPr>
            <w:r>
              <w:t>2、运营期</w:t>
            </w:r>
          </w:p>
          <w:p>
            <w:pPr>
              <w:pStyle w:val="147"/>
            </w:pPr>
            <w:r>
              <w:t>项目营运期废水主要为生活污水（办公）、雨天初期雨水、喷淋塔循环废水。生活污水依托云龙公路分局河南石料场公路养护配套改扩建项目现有旱厕处理后委托附近村庄村民清掏用于农田施肥，不外排；雨天初期雨水经收集后回用于项目区非雨天洒水降尘；喷淋塔循环废水经收集后清运至沥青路面铺摊现场作为乳化沥青配浆水使用。综上，本项目运营期不设废水排放标准。</w:t>
            </w:r>
          </w:p>
          <w:p>
            <w:pPr>
              <w:pStyle w:val="111"/>
            </w:pPr>
            <w:r>
              <w:t>3.3.3噪声排放标准</w:t>
            </w:r>
          </w:p>
          <w:p>
            <w:pPr>
              <w:pStyle w:val="111"/>
            </w:pPr>
            <w:r>
              <w:t>1、施工期</w:t>
            </w:r>
          </w:p>
          <w:p>
            <w:pPr>
              <w:pStyle w:val="147"/>
            </w:pPr>
            <w:r>
              <w:t>项目施工期噪声执行《建筑施工场界环境噪声排放标准》（GB12523-2011）标准限值见下表。</w:t>
            </w:r>
          </w:p>
          <w:p>
            <w:pPr>
              <w:pStyle w:val="168"/>
            </w:pPr>
            <w:r>
              <w:t>表3-11   建筑施工场界环境噪声排放标准  单位：dB（A）</w:t>
            </w:r>
          </w:p>
          <w:tbl>
            <w:tblPr>
              <w:tblStyle w:val="28"/>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620"/>
              <w:gridCol w:w="1440"/>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exact"/>
              </w:trPr>
              <w:tc>
                <w:tcPr>
                  <w:tcW w:w="1568" w:type="dxa"/>
                  <w:vAlign w:val="center"/>
                </w:tcPr>
                <w:p>
                  <w:pPr>
                    <w:pStyle w:val="66"/>
                    <w:rPr>
                      <w:color w:val="auto"/>
                    </w:rPr>
                  </w:pPr>
                  <w:r>
                    <w:rPr>
                      <w:color w:val="auto"/>
                    </w:rPr>
                    <w:t>环境要素</w:t>
                  </w:r>
                </w:p>
              </w:tc>
              <w:tc>
                <w:tcPr>
                  <w:tcW w:w="3060" w:type="dxa"/>
                  <w:gridSpan w:val="2"/>
                  <w:vAlign w:val="center"/>
                </w:tcPr>
                <w:p>
                  <w:pPr>
                    <w:pStyle w:val="66"/>
                    <w:rPr>
                      <w:color w:val="auto"/>
                    </w:rPr>
                  </w:pPr>
                  <w:r>
                    <w:rPr>
                      <w:color w:val="auto"/>
                    </w:rPr>
                    <w:t>标准值</w:t>
                  </w:r>
                </w:p>
              </w:tc>
              <w:tc>
                <w:tcPr>
                  <w:tcW w:w="3752" w:type="dxa"/>
                  <w:vAlign w:val="center"/>
                </w:tcPr>
                <w:p>
                  <w:pPr>
                    <w:pStyle w:val="66"/>
                    <w:rPr>
                      <w:color w:val="auto"/>
                    </w:rPr>
                  </w:pPr>
                  <w:r>
                    <w:rPr>
                      <w:color w:val="auto"/>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exact"/>
              </w:trPr>
              <w:tc>
                <w:tcPr>
                  <w:tcW w:w="1568" w:type="dxa"/>
                  <w:vMerge w:val="restart"/>
                  <w:vAlign w:val="center"/>
                </w:tcPr>
                <w:p>
                  <w:pPr>
                    <w:pStyle w:val="66"/>
                    <w:rPr>
                      <w:color w:val="auto"/>
                    </w:rPr>
                  </w:pPr>
                  <w:r>
                    <w:rPr>
                      <w:color w:val="auto"/>
                    </w:rPr>
                    <w:t>噪声</w:t>
                  </w:r>
                </w:p>
              </w:tc>
              <w:tc>
                <w:tcPr>
                  <w:tcW w:w="1620" w:type="dxa"/>
                  <w:vAlign w:val="center"/>
                </w:tcPr>
                <w:p>
                  <w:pPr>
                    <w:pStyle w:val="66"/>
                    <w:rPr>
                      <w:color w:val="auto"/>
                    </w:rPr>
                  </w:pPr>
                  <w:r>
                    <w:rPr>
                      <w:color w:val="auto"/>
                    </w:rPr>
                    <w:t>昼间</w:t>
                  </w:r>
                </w:p>
              </w:tc>
              <w:tc>
                <w:tcPr>
                  <w:tcW w:w="1440" w:type="dxa"/>
                  <w:vAlign w:val="center"/>
                </w:tcPr>
                <w:p>
                  <w:pPr>
                    <w:pStyle w:val="66"/>
                    <w:rPr>
                      <w:color w:val="auto"/>
                    </w:rPr>
                  </w:pPr>
                  <w:r>
                    <w:rPr>
                      <w:color w:val="auto"/>
                    </w:rPr>
                    <w:t>夜间</w:t>
                  </w:r>
                </w:p>
              </w:tc>
              <w:tc>
                <w:tcPr>
                  <w:tcW w:w="3752" w:type="dxa"/>
                  <w:vMerge w:val="restart"/>
                  <w:vAlign w:val="center"/>
                </w:tcPr>
                <w:p>
                  <w:pPr>
                    <w:pStyle w:val="66"/>
                    <w:rPr>
                      <w:color w:val="auto"/>
                    </w:rPr>
                  </w:pPr>
                  <w:r>
                    <w:rPr>
                      <w:color w:val="auto"/>
                    </w:rPr>
                    <w:t>《建筑施工场界环境噪声排放标准》（GB12523－2011）表1中排放限值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568" w:type="dxa"/>
                  <w:vMerge w:val="continue"/>
                  <w:vAlign w:val="center"/>
                </w:tcPr>
                <w:p>
                  <w:pPr>
                    <w:pStyle w:val="66"/>
                    <w:rPr>
                      <w:color w:val="auto"/>
                    </w:rPr>
                  </w:pPr>
                </w:p>
              </w:tc>
              <w:tc>
                <w:tcPr>
                  <w:tcW w:w="1620" w:type="dxa"/>
                  <w:vAlign w:val="center"/>
                </w:tcPr>
                <w:p>
                  <w:pPr>
                    <w:pStyle w:val="66"/>
                    <w:rPr>
                      <w:color w:val="auto"/>
                    </w:rPr>
                  </w:pPr>
                  <w:r>
                    <w:rPr>
                      <w:color w:val="auto"/>
                    </w:rPr>
                    <w:t>70</w:t>
                  </w:r>
                </w:p>
              </w:tc>
              <w:tc>
                <w:tcPr>
                  <w:tcW w:w="1440" w:type="dxa"/>
                  <w:vAlign w:val="center"/>
                </w:tcPr>
                <w:p>
                  <w:pPr>
                    <w:pStyle w:val="66"/>
                    <w:rPr>
                      <w:color w:val="auto"/>
                    </w:rPr>
                  </w:pPr>
                  <w:r>
                    <w:rPr>
                      <w:color w:val="auto"/>
                    </w:rPr>
                    <w:t>55</w:t>
                  </w:r>
                </w:p>
              </w:tc>
              <w:tc>
                <w:tcPr>
                  <w:tcW w:w="3752" w:type="dxa"/>
                  <w:vMerge w:val="continue"/>
                  <w:vAlign w:val="center"/>
                </w:tcPr>
                <w:p>
                  <w:pPr>
                    <w:pStyle w:val="66"/>
                    <w:rPr>
                      <w:color w:val="auto"/>
                    </w:rPr>
                  </w:pPr>
                </w:p>
              </w:tc>
            </w:tr>
          </w:tbl>
          <w:p>
            <w:pPr>
              <w:pStyle w:val="111"/>
            </w:pPr>
            <w:r>
              <w:t>2、运营期</w:t>
            </w:r>
          </w:p>
          <w:p>
            <w:pPr>
              <w:pStyle w:val="147"/>
            </w:pPr>
            <w:r>
              <w:t>项目营运期噪声排放执行《工业企业厂界环境噪声排放标准》（GB12348-2008）2类标准，标准限值详见下表。</w:t>
            </w:r>
          </w:p>
          <w:p>
            <w:pPr>
              <w:pStyle w:val="168"/>
            </w:pPr>
            <w:r>
              <w:t>表3-12   工业企业厂界环境噪声排放标准  单位：dB（A）</w:t>
            </w:r>
          </w:p>
          <w:tbl>
            <w:tblPr>
              <w:tblStyle w:val="28"/>
              <w:tblW w:w="8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3751"/>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5" w:type="dxa"/>
                  <w:vMerge w:val="restart"/>
                  <w:vAlign w:val="center"/>
                </w:tcPr>
                <w:p>
                  <w:pPr>
                    <w:pStyle w:val="66"/>
                    <w:rPr>
                      <w:color w:val="auto"/>
                    </w:rPr>
                  </w:pPr>
                  <w:r>
                    <w:rPr>
                      <w:color w:val="auto"/>
                    </w:rPr>
                    <w:t>类别</w:t>
                  </w:r>
                </w:p>
              </w:tc>
              <w:tc>
                <w:tcPr>
                  <w:tcW w:w="5158" w:type="dxa"/>
                  <w:gridSpan w:val="2"/>
                  <w:vAlign w:val="center"/>
                </w:tcPr>
                <w:p>
                  <w:pPr>
                    <w:pStyle w:val="66"/>
                    <w:rPr>
                      <w:color w:val="auto"/>
                    </w:rPr>
                  </w:pPr>
                  <w:r>
                    <w:rPr>
                      <w:color w:val="auto"/>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5" w:type="dxa"/>
                  <w:vMerge w:val="continue"/>
                  <w:vAlign w:val="center"/>
                </w:tcPr>
                <w:p>
                  <w:pPr>
                    <w:pStyle w:val="66"/>
                    <w:rPr>
                      <w:color w:val="auto"/>
                    </w:rPr>
                  </w:pPr>
                </w:p>
              </w:tc>
              <w:tc>
                <w:tcPr>
                  <w:tcW w:w="3751" w:type="dxa"/>
                  <w:vAlign w:val="center"/>
                </w:tcPr>
                <w:p>
                  <w:pPr>
                    <w:pStyle w:val="66"/>
                    <w:rPr>
                      <w:color w:val="auto"/>
                    </w:rPr>
                  </w:pPr>
                  <w:r>
                    <w:rPr>
                      <w:color w:val="auto"/>
                    </w:rPr>
                    <w:t>昼间</w:t>
                  </w:r>
                </w:p>
              </w:tc>
              <w:tc>
                <w:tcPr>
                  <w:tcW w:w="1407" w:type="dxa"/>
                  <w:vAlign w:val="center"/>
                </w:tcPr>
                <w:p>
                  <w:pPr>
                    <w:pStyle w:val="66"/>
                    <w:rPr>
                      <w:color w:val="auto"/>
                    </w:rPr>
                  </w:pPr>
                  <w:r>
                    <w:rPr>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5" w:type="dxa"/>
                  <w:vAlign w:val="center"/>
                </w:tcPr>
                <w:p>
                  <w:pPr>
                    <w:pStyle w:val="66"/>
                    <w:rPr>
                      <w:color w:val="auto"/>
                    </w:rPr>
                  </w:pPr>
                  <w:r>
                    <w:rPr>
                      <w:color w:val="auto"/>
                    </w:rPr>
                    <w:t>2类</w:t>
                  </w:r>
                </w:p>
              </w:tc>
              <w:tc>
                <w:tcPr>
                  <w:tcW w:w="3751" w:type="dxa"/>
                  <w:vAlign w:val="center"/>
                </w:tcPr>
                <w:p>
                  <w:pPr>
                    <w:pStyle w:val="66"/>
                    <w:rPr>
                      <w:color w:val="auto"/>
                    </w:rPr>
                  </w:pPr>
                  <w:r>
                    <w:rPr>
                      <w:color w:val="auto"/>
                    </w:rPr>
                    <w:t>60</w:t>
                  </w:r>
                </w:p>
              </w:tc>
              <w:tc>
                <w:tcPr>
                  <w:tcW w:w="1407" w:type="dxa"/>
                  <w:vAlign w:val="center"/>
                </w:tcPr>
                <w:p>
                  <w:pPr>
                    <w:pStyle w:val="66"/>
                    <w:rPr>
                      <w:color w:val="auto"/>
                    </w:rPr>
                  </w:pPr>
                  <w:r>
                    <w:rPr>
                      <w:color w:val="auto"/>
                    </w:rPr>
                    <w:t>50</w:t>
                  </w:r>
                </w:p>
              </w:tc>
            </w:tr>
          </w:tbl>
          <w:p>
            <w:pPr>
              <w:pStyle w:val="111"/>
            </w:pPr>
            <w:r>
              <w:t>3.3.4固体废物</w:t>
            </w:r>
          </w:p>
          <w:p>
            <w:pPr>
              <w:pStyle w:val="139"/>
              <w:ind w:firstLine="482"/>
              <w:rPr>
                <w:rStyle w:val="123"/>
              </w:rPr>
            </w:pPr>
            <w:r>
              <w:rPr>
                <w:rStyle w:val="123"/>
                <w:b/>
              </w:rPr>
              <w:t>施工期：</w:t>
            </w:r>
            <w:r>
              <w:rPr>
                <w:rStyle w:val="123"/>
              </w:rPr>
              <w:t>施工期施工人员不在项目区食宿，无生活垃圾产生。施工期产生的包装废料等收集后外售。</w:t>
            </w:r>
          </w:p>
          <w:p>
            <w:pPr>
              <w:pStyle w:val="139"/>
              <w:ind w:firstLine="482"/>
              <w:rPr>
                <w:kern w:val="0"/>
                <w:szCs w:val="21"/>
              </w:rPr>
            </w:pPr>
            <w:r>
              <w:rPr>
                <w:rStyle w:val="123"/>
                <w:b/>
              </w:rPr>
              <w:t>运营期：</w:t>
            </w:r>
            <w:r>
              <w:rPr>
                <w:rStyle w:val="123"/>
              </w:rPr>
              <w:t>项目运营期除尘系统收集粉尘、</w:t>
            </w:r>
            <w:r>
              <w:t>滴漏沥青、拌合残渣等</w:t>
            </w:r>
            <w:r>
              <w:rPr>
                <w:rStyle w:val="123"/>
              </w:rPr>
              <w:t>一般工业固体废物贮存执行《一般工业固体废物贮存和填埋污染控制标准》（GB18599-2020）；</w:t>
            </w:r>
            <w:r>
              <w:t>废导热油、废润滑油、废活性炭等</w:t>
            </w:r>
            <w:r>
              <w:rPr>
                <w:rStyle w:val="123"/>
              </w:rPr>
              <w:t>危险废物贮存执行《危险废物贮存污染控制标准》（GB18597-2023）。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kern w:val="0"/>
                <w:sz w:val="24"/>
              </w:rPr>
            </w:pPr>
            <w:r>
              <w:rPr>
                <w:kern w:val="0"/>
                <w:sz w:val="24"/>
              </w:rPr>
              <w:t>指标</w:t>
            </w:r>
          </w:p>
        </w:tc>
        <w:tc>
          <w:tcPr>
            <w:tcW w:w="8609" w:type="dxa"/>
            <w:vAlign w:val="center"/>
          </w:tcPr>
          <w:p>
            <w:pPr>
              <w:pStyle w:val="108"/>
              <w:rPr>
                <w:color w:val="auto"/>
              </w:rPr>
            </w:pPr>
            <w:r>
              <w:rPr>
                <w:color w:val="auto"/>
              </w:rPr>
              <w:t>3.4总量控制指标</w:t>
            </w:r>
          </w:p>
          <w:p>
            <w:pPr>
              <w:pStyle w:val="139"/>
              <w:ind w:firstLine="480"/>
              <w:rPr>
                <w:b/>
                <w:bCs/>
              </w:rPr>
            </w:pPr>
            <w:r>
              <w:t>根据《国务院关于印发“十四五”节能减排综合性工作方案的通知》（国发〔2021〕33号），“十四五”期间国家对化学需氧量、氨氮、氮氧化物以及挥发性有机物等主要污染物实行排放总量控制计划管理。</w:t>
            </w:r>
          </w:p>
          <w:p>
            <w:pPr>
              <w:pStyle w:val="111"/>
            </w:pPr>
            <w:r>
              <w:t>3.4.1、废气</w:t>
            </w:r>
          </w:p>
          <w:p>
            <w:pPr>
              <w:pStyle w:val="139"/>
              <w:ind w:firstLine="480"/>
            </w:pPr>
            <w:r>
              <w:rPr>
                <w:bCs/>
                <w:kern w:val="0"/>
              </w:rPr>
              <w:t>本次评价取Nox和挥发性有机物</w:t>
            </w:r>
            <w:r>
              <w:t>（以非甲烷总烃计）作为总量控制指标。</w:t>
            </w:r>
          </w:p>
          <w:p>
            <w:pPr>
              <w:pStyle w:val="111"/>
            </w:pPr>
            <w:r>
              <w:t>3.4.2、废水</w:t>
            </w:r>
          </w:p>
          <w:p>
            <w:pPr>
              <w:pStyle w:val="139"/>
              <w:ind w:firstLine="480"/>
            </w:pPr>
            <w:r>
              <w:t>项目采用“雨污分流”的排水方式，初期雨水经拟建容积为30m</w:t>
            </w:r>
            <w:r>
              <w:rPr>
                <w:vertAlign w:val="superscript"/>
              </w:rPr>
              <w:t>3</w:t>
            </w:r>
            <w:r>
              <w:t>的初期雨水收集池收集沉淀处理后回用于洒水降尘，不外排；项目沥青烟气处理过程中喷淋塔产生的喷淋塔循环废水，采用容积为2m³的废水储存罐收集后及时运送到沥青路面摊铺现场作为乳化沥青配浆用水使用，不直接外排。项目区不设食宿，不设置办公生活设施，员工洗手、如厕依托云龙公路分局河南石料场公路养护配套改扩建项目旱厕处理后，委托附近村民定期清掏施肥，不外排。</w:t>
            </w:r>
          </w:p>
          <w:p>
            <w:pPr>
              <w:pStyle w:val="139"/>
              <w:ind w:firstLine="480"/>
            </w:pPr>
            <w:r>
              <w:t>本项目不设废水总量控制指标。</w:t>
            </w:r>
          </w:p>
          <w:p>
            <w:pPr>
              <w:pStyle w:val="111"/>
              <w:rPr>
                <w:snapToGrid/>
                <w:lang w:val="en-US"/>
              </w:rPr>
            </w:pPr>
            <w:r>
              <w:t>3.4.3、总量控制指标建议</w:t>
            </w:r>
          </w:p>
          <w:p>
            <w:pPr>
              <w:pStyle w:val="139"/>
              <w:ind w:firstLine="480"/>
              <w:rPr>
                <w:b/>
                <w:bCs/>
              </w:rPr>
            </w:pPr>
            <w:r>
              <w:t>本项目总量控制指标建议如下表：</w:t>
            </w:r>
          </w:p>
          <w:p>
            <w:pPr>
              <w:pStyle w:val="168"/>
            </w:pPr>
            <w:r>
              <w:t>表3-16   总量控制指标一览表  单位：t/a</w:t>
            </w:r>
          </w:p>
          <w:tbl>
            <w:tblPr>
              <w:tblStyle w:val="29"/>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76"/>
              <w:gridCol w:w="1676"/>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6" w:type="dxa"/>
                  <w:vAlign w:val="center"/>
                </w:tcPr>
                <w:p>
                  <w:pPr>
                    <w:pStyle w:val="167"/>
                  </w:pPr>
                  <w:r>
                    <w:t>污染物种类</w:t>
                  </w:r>
                </w:p>
              </w:tc>
              <w:tc>
                <w:tcPr>
                  <w:tcW w:w="1676" w:type="dxa"/>
                  <w:vAlign w:val="center"/>
                </w:tcPr>
                <w:p>
                  <w:pPr>
                    <w:pStyle w:val="167"/>
                  </w:pPr>
                  <w:r>
                    <w:t>总量控制指标</w:t>
                  </w:r>
                </w:p>
              </w:tc>
              <w:tc>
                <w:tcPr>
                  <w:tcW w:w="1676" w:type="dxa"/>
                  <w:vAlign w:val="center"/>
                </w:tcPr>
                <w:p>
                  <w:pPr>
                    <w:pStyle w:val="167"/>
                  </w:pPr>
                  <w:r>
                    <w:t>控制总量</w:t>
                  </w:r>
                </w:p>
              </w:tc>
              <w:tc>
                <w:tcPr>
                  <w:tcW w:w="1676" w:type="dxa"/>
                  <w:vAlign w:val="center"/>
                </w:tcPr>
                <w:p>
                  <w:pPr>
                    <w:pStyle w:val="167"/>
                  </w:pPr>
                  <w:r>
                    <w:t>纳管量</w:t>
                  </w:r>
                </w:p>
              </w:tc>
              <w:tc>
                <w:tcPr>
                  <w:tcW w:w="1676" w:type="dxa"/>
                  <w:vAlign w:val="center"/>
                </w:tcPr>
                <w:p>
                  <w:pPr>
                    <w:pStyle w:val="167"/>
                  </w:pPr>
                  <w:r>
                    <w:t>进入外环境量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6" w:type="dxa"/>
                  <w:vMerge w:val="restart"/>
                  <w:vAlign w:val="center"/>
                </w:tcPr>
                <w:p>
                  <w:pPr>
                    <w:pStyle w:val="167"/>
                  </w:pPr>
                  <w:r>
                    <w:t>大气污染物</w:t>
                  </w:r>
                </w:p>
              </w:tc>
              <w:tc>
                <w:tcPr>
                  <w:tcW w:w="1676" w:type="dxa"/>
                  <w:vAlign w:val="center"/>
                </w:tcPr>
                <w:p>
                  <w:pPr>
                    <w:pStyle w:val="167"/>
                  </w:pPr>
                  <w:r>
                    <w:t>NOx</w:t>
                  </w:r>
                </w:p>
              </w:tc>
              <w:tc>
                <w:tcPr>
                  <w:tcW w:w="1676" w:type="dxa"/>
                  <w:vAlign w:val="center"/>
                </w:tcPr>
                <w:p>
                  <w:pPr>
                    <w:pStyle w:val="167"/>
                  </w:pPr>
                  <w:r>
                    <w:t>0.01835</w:t>
                  </w:r>
                </w:p>
              </w:tc>
              <w:tc>
                <w:tcPr>
                  <w:tcW w:w="1676" w:type="dxa"/>
                  <w:vAlign w:val="center"/>
                </w:tcPr>
                <w:p>
                  <w:pPr>
                    <w:pStyle w:val="167"/>
                  </w:pPr>
                  <w:r>
                    <w:t>0</w:t>
                  </w:r>
                </w:p>
              </w:tc>
              <w:tc>
                <w:tcPr>
                  <w:tcW w:w="1676" w:type="dxa"/>
                  <w:vAlign w:val="center"/>
                </w:tcPr>
                <w:p>
                  <w:pPr>
                    <w:pStyle w:val="167"/>
                  </w:pPr>
                  <w:r>
                    <w:t>0.01835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6" w:type="dxa"/>
                  <w:vMerge w:val="continue"/>
                  <w:vAlign w:val="center"/>
                </w:tcPr>
                <w:p>
                  <w:pPr>
                    <w:pStyle w:val="167"/>
                  </w:pPr>
                </w:p>
              </w:tc>
              <w:tc>
                <w:tcPr>
                  <w:tcW w:w="1676" w:type="dxa"/>
                  <w:vAlign w:val="center"/>
                </w:tcPr>
                <w:p>
                  <w:pPr>
                    <w:pStyle w:val="167"/>
                  </w:pPr>
                  <w:r>
                    <w:t>NMHC</w:t>
                  </w:r>
                </w:p>
              </w:tc>
              <w:tc>
                <w:tcPr>
                  <w:tcW w:w="1676" w:type="dxa"/>
                  <w:vAlign w:val="center"/>
                </w:tcPr>
                <w:p>
                  <w:pPr>
                    <w:pStyle w:val="167"/>
                  </w:pPr>
                  <w:r>
                    <w:t>0.0587</w:t>
                  </w:r>
                </w:p>
              </w:tc>
              <w:tc>
                <w:tcPr>
                  <w:tcW w:w="1676" w:type="dxa"/>
                  <w:vAlign w:val="center"/>
                </w:tcPr>
                <w:p>
                  <w:pPr>
                    <w:pStyle w:val="167"/>
                  </w:pPr>
                  <w:r>
                    <w:t>0</w:t>
                  </w:r>
                </w:p>
              </w:tc>
              <w:tc>
                <w:tcPr>
                  <w:tcW w:w="1676" w:type="dxa"/>
                  <w:vAlign w:val="center"/>
                </w:tcPr>
                <w:p>
                  <w:pPr>
                    <w:pStyle w:val="167"/>
                  </w:pPr>
                  <w:r>
                    <w:t>0.0587</w:t>
                  </w:r>
                </w:p>
              </w:tc>
            </w:tr>
          </w:tbl>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tc>
      </w:tr>
    </w:tbl>
    <w:p>
      <w:pPr>
        <w:pStyle w:val="24"/>
        <w:adjustRightInd w:val="0"/>
        <w:snapToGrid w:val="0"/>
        <w:spacing w:before="0" w:beforeAutospacing="0" w:after="0" w:afterAutospacing="0"/>
        <w:jc w:val="center"/>
        <w:outlineLvl w:val="0"/>
        <w:rPr>
          <w:rFonts w:ascii="Times New Roman" w:hAnsi="Times New Roman"/>
          <w:b/>
          <w:bCs/>
          <w:snapToGrid w:val="0"/>
          <w:sz w:val="30"/>
          <w:szCs w:val="30"/>
        </w:rPr>
        <w:sectPr>
          <w:pgSz w:w="11907" w:h="16840"/>
          <w:pgMar w:top="1701" w:right="1531" w:bottom="2127" w:left="1531" w:header="851" w:footer="851" w:gutter="0"/>
          <w:cols w:space="720" w:num="1"/>
          <w:docGrid w:linePitch="312" w:charSpace="0"/>
        </w:sectPr>
      </w:pPr>
      <w:bookmarkStart w:id="15" w:name="_Toc32295"/>
      <w:bookmarkStart w:id="16" w:name="_Toc32349"/>
    </w:p>
    <w:p>
      <w:pPr>
        <w:pStyle w:val="24"/>
        <w:adjustRightInd w:val="0"/>
        <w:snapToGrid w:val="0"/>
        <w:spacing w:before="0" w:beforeAutospacing="0" w:after="0" w:afterAutospacing="0"/>
        <w:jc w:val="center"/>
        <w:outlineLvl w:val="0"/>
        <w:rPr>
          <w:rFonts w:ascii="Times New Roman" w:hAnsi="Times New Roman"/>
          <w:snapToGrid w:val="0"/>
          <w:sz w:val="30"/>
          <w:szCs w:val="30"/>
        </w:rPr>
      </w:pPr>
      <w:r>
        <w:rPr>
          <w:rFonts w:ascii="Times New Roman" w:hAnsi="Times New Roman"/>
          <w:b/>
          <w:bCs/>
          <w:snapToGrid w:val="0"/>
          <w:sz w:val="30"/>
          <w:szCs w:val="30"/>
        </w:rPr>
        <w:t>四、主要环境影响和保护措施</w:t>
      </w:r>
      <w:bookmarkEnd w:id="15"/>
      <w:bookmarkEnd w:id="16"/>
    </w:p>
    <w:tbl>
      <w:tblPr>
        <w:tblStyle w:val="28"/>
        <w:tblW w:w="89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2"/>
        <w:gridCol w:w="86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 w:type="dxa"/>
            <w:tcMar>
              <w:left w:w="28" w:type="dxa"/>
              <w:right w:w="28" w:type="dxa"/>
            </w:tcMar>
            <w:vAlign w:val="center"/>
          </w:tcPr>
          <w:p>
            <w:pPr>
              <w:pStyle w:val="24"/>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施工期环境保护措施</w:t>
            </w:r>
          </w:p>
        </w:tc>
        <w:tc>
          <w:tcPr>
            <w:tcW w:w="8629" w:type="dxa"/>
            <w:vAlign w:val="center"/>
          </w:tcPr>
          <w:p>
            <w:pPr>
              <w:pStyle w:val="108"/>
              <w:rPr>
                <w:color w:val="auto"/>
              </w:rPr>
            </w:pPr>
            <w:r>
              <w:rPr>
                <w:color w:val="auto"/>
              </w:rPr>
              <w:t>4.1施工期污染防治措施</w:t>
            </w:r>
          </w:p>
          <w:p>
            <w:pPr>
              <w:pStyle w:val="147"/>
            </w:pPr>
            <w:r>
              <w:rPr>
                <w:lang w:val="en-US"/>
              </w:rPr>
              <w:t>云龙公路局沥青拌合站新建项目</w:t>
            </w:r>
            <w:r>
              <w:t>于2016年5月建设完成并投产运行。现阶段主要对现有工程存在的环境问题进行整改建设，项目施工周期短，施工人员不在场地内食宿。施工期产生的污染物主要为少量粉尘、施工人员生活废水、施工噪声以及废弃包装材料、生活垃圾等。</w:t>
            </w:r>
          </w:p>
          <w:p>
            <w:pPr>
              <w:pStyle w:val="111"/>
            </w:pPr>
            <w:r>
              <w:t>4.1.1废气防治措施</w:t>
            </w:r>
          </w:p>
          <w:p>
            <w:pPr>
              <w:pStyle w:val="147"/>
            </w:pPr>
            <w:r>
              <w:t>项目环保工程建设期的主要污染因子为扬尘和燃油废气，在进行基础开挖、柴油储罐及沥青储罐区围堰建设，项目区进场道路硬化等过程会产生粉尘、扬尘等大气污染情况，其次运输砂石、水泥等建筑材料时发生散落等情况，会增加施工区域地面起尘量。扬尘产生量与风速等气象条件、粒径、地面清洁度、行车速度等因素有关。</w:t>
            </w:r>
          </w:p>
          <w:p>
            <w:pPr>
              <w:pStyle w:val="147"/>
            </w:pPr>
            <w:r>
              <w:t>因此，为减轻施工扬尘对区域环境空气质量的不利影响，本项目拟采取的治理措施如下：</w:t>
            </w:r>
          </w:p>
          <w:p>
            <w:pPr>
              <w:pStyle w:val="147"/>
            </w:pPr>
            <w:r>
              <w:t>①对施工现场进行科学管理，易产生扬尘的物料应统一堆放并采用篷布覆盖，尽量减少搬运环节，搬运时轻举轻放，防止包装袋破裂；施工期间产生的扬尘量较少，在装修过程中施工单位对施工场地设置围挡，每天定期室内室外洒水降尘。</w:t>
            </w:r>
          </w:p>
          <w:p>
            <w:pPr>
              <w:pStyle w:val="147"/>
            </w:pPr>
            <w:r>
              <w:t>②运输车辆进入施工场地要</w:t>
            </w:r>
            <w:r>
              <w:rPr>
                <w:rFonts w:hint="eastAsia"/>
                <w:lang w:eastAsia="zh-CN"/>
              </w:rPr>
              <w:t>采取措施防止货物</w:t>
            </w:r>
            <w:r>
              <w:t>，谨防运输车辆装载过满，并采取遮盖、密闭措施，防止或减少其沿途抛洒，定时洒水抑尘，减少运输过程中的扬尘。</w:t>
            </w:r>
          </w:p>
          <w:p>
            <w:pPr>
              <w:pStyle w:val="147"/>
            </w:pPr>
            <w:r>
              <w:t>③施工过程中产生的建筑垃圾，应及时清运。采取定期洒水抑尘等措施，防止风蚀起尘及水蚀迁移。</w:t>
            </w:r>
          </w:p>
          <w:p>
            <w:pPr>
              <w:pStyle w:val="147"/>
            </w:pPr>
            <w:r>
              <w:t>④加强对进出车辆的管理，做到车辆定期保养，减少燃油废气的污染物排放。</w:t>
            </w:r>
          </w:p>
          <w:p>
            <w:pPr>
              <w:pStyle w:val="147"/>
            </w:pPr>
            <w:r>
              <w:t>本项目施工期通过采取上述措施后，施工期扬尘和燃油废气可得到有效抑制，施工期产生的废气，对周围环境产生的影响很小。</w:t>
            </w:r>
          </w:p>
          <w:p>
            <w:pPr>
              <w:wordWrap w:val="0"/>
              <w:autoSpaceDE w:val="0"/>
              <w:autoSpaceDN w:val="0"/>
              <w:adjustRightInd w:val="0"/>
              <w:snapToGrid w:val="0"/>
              <w:spacing w:before="60" w:beforeLines="25" w:after="60" w:afterLines="25" w:line="360" w:lineRule="auto"/>
              <w:rPr>
                <w:b/>
                <w:kern w:val="0"/>
                <w:sz w:val="24"/>
                <w:szCs w:val="21"/>
              </w:rPr>
            </w:pPr>
            <w:r>
              <w:rPr>
                <w:b/>
                <w:kern w:val="0"/>
                <w:sz w:val="24"/>
                <w:szCs w:val="21"/>
              </w:rPr>
              <w:t>4.1.2废水防治措施</w:t>
            </w:r>
          </w:p>
          <w:p>
            <w:pPr>
              <w:pStyle w:val="147"/>
            </w:pPr>
            <w:r>
              <w:t>施工期水污染主要为施工人员生活污水和施工过程产生的施工废水。</w:t>
            </w:r>
          </w:p>
          <w:p>
            <w:pPr>
              <w:pStyle w:val="164"/>
            </w:pPr>
            <w:r>
              <w:t>1、生活污水防治措施</w:t>
            </w:r>
          </w:p>
          <w:p>
            <w:pPr>
              <w:pStyle w:val="147"/>
            </w:pPr>
            <w:r>
              <w:t>本项目拟对生活污水采取下列措施：</w:t>
            </w:r>
          </w:p>
          <w:p>
            <w:pPr>
              <w:pStyle w:val="147"/>
            </w:pPr>
            <w:r>
              <w:t>①施工期间不设置施工宿营地，可有效减少生活废水的产生；</w:t>
            </w:r>
          </w:p>
          <w:p>
            <w:pPr>
              <w:pStyle w:val="147"/>
            </w:pPr>
            <w:r>
              <w:t>②施工人员如厕、洗手等，依托依托</w:t>
            </w:r>
            <w:r>
              <w:rPr>
                <w:rStyle w:val="140"/>
              </w:rPr>
              <w:t>云龙公路分局河南石料场公路养护配套改扩建项目</w:t>
            </w:r>
            <w:r>
              <w:t>现有旱厕。</w:t>
            </w:r>
          </w:p>
          <w:p>
            <w:pPr>
              <w:pStyle w:val="164"/>
            </w:pPr>
            <w:r>
              <w:t>2、施工废水防治措施</w:t>
            </w:r>
          </w:p>
          <w:p>
            <w:pPr>
              <w:pStyle w:val="147"/>
            </w:pPr>
            <w:r>
              <w:t>本项目拟对施工废水采取下列措施：</w:t>
            </w:r>
          </w:p>
          <w:p>
            <w:pPr>
              <w:pStyle w:val="147"/>
            </w:pPr>
            <w:r>
              <w:t>混凝土养护、设备清洗过程中产生的施工废水经新建临时沉淀池收集预处理后回用于施工场地内洒水降尘。</w:t>
            </w:r>
          </w:p>
          <w:p>
            <w:pPr>
              <w:wordWrap w:val="0"/>
              <w:autoSpaceDE w:val="0"/>
              <w:autoSpaceDN w:val="0"/>
              <w:adjustRightInd w:val="0"/>
              <w:snapToGrid w:val="0"/>
              <w:spacing w:before="60" w:beforeLines="25" w:after="60" w:afterLines="25" w:line="360" w:lineRule="auto"/>
              <w:rPr>
                <w:b/>
                <w:kern w:val="0"/>
                <w:sz w:val="24"/>
                <w:szCs w:val="21"/>
              </w:rPr>
            </w:pPr>
            <w:r>
              <w:rPr>
                <w:b/>
                <w:kern w:val="0"/>
                <w:sz w:val="24"/>
                <w:szCs w:val="21"/>
              </w:rPr>
              <w:t>4.1.3噪声防治措施</w:t>
            </w:r>
          </w:p>
          <w:p>
            <w:pPr>
              <w:pStyle w:val="147"/>
            </w:pPr>
            <w:r>
              <w:t>本项目拟对施工噪声采取下列措施：</w:t>
            </w:r>
          </w:p>
          <w:p>
            <w:pPr>
              <w:pStyle w:val="147"/>
            </w:pPr>
            <w:r>
              <w:t>①禁止夜间（晚22点至早晨6点之间）进行产生环境噪声污染的建筑施工作业；</w:t>
            </w:r>
          </w:p>
          <w:p>
            <w:pPr>
              <w:pStyle w:val="147"/>
            </w:pPr>
            <w:r>
              <w:t>②运输车辆</w:t>
            </w:r>
            <w:r>
              <w:rPr>
                <w:rFonts w:hint="eastAsia"/>
                <w:lang w:eastAsia="zh-CN"/>
              </w:rPr>
              <w:t>在途经</w:t>
            </w:r>
            <w:r>
              <w:t>敏感路段时要</w:t>
            </w:r>
            <w:r>
              <w:rPr>
                <w:rFonts w:hint="eastAsia"/>
                <w:lang w:eastAsia="zh-CN"/>
              </w:rPr>
              <w:t>采取措施防止货物</w:t>
            </w:r>
            <w:r>
              <w:t>；</w:t>
            </w:r>
          </w:p>
          <w:p>
            <w:pPr>
              <w:pStyle w:val="147"/>
            </w:pPr>
            <w:r>
              <w:t>③科学合理地安排施工步骤，优化施工方式，尽量减短噪声持续排放的时间；项目在进行物料运输时，应合理安排运输时间，并避免在夜间及交通拥挤时段进行，减缓交通噪声对居民的影响；</w:t>
            </w:r>
          </w:p>
          <w:p>
            <w:pPr>
              <w:pStyle w:val="147"/>
            </w:pPr>
            <w:r>
              <w:t>④施工期应使用性能好、低噪声的设备施工；</w:t>
            </w:r>
          </w:p>
          <w:p>
            <w:pPr>
              <w:pStyle w:val="147"/>
            </w:pPr>
            <w:r>
              <w:t>⑤项目还应该加强对施工人员的管理，做到文明施工，避免人为噪声的产生。</w:t>
            </w:r>
          </w:p>
          <w:p>
            <w:pPr>
              <w:wordWrap w:val="0"/>
              <w:autoSpaceDE w:val="0"/>
              <w:autoSpaceDN w:val="0"/>
              <w:adjustRightInd w:val="0"/>
              <w:snapToGrid w:val="0"/>
              <w:spacing w:before="60" w:beforeLines="25" w:after="60" w:afterLines="25" w:line="360" w:lineRule="auto"/>
              <w:rPr>
                <w:b/>
                <w:kern w:val="0"/>
                <w:sz w:val="24"/>
                <w:szCs w:val="21"/>
              </w:rPr>
            </w:pPr>
            <w:r>
              <w:rPr>
                <w:b/>
                <w:kern w:val="0"/>
                <w:sz w:val="24"/>
                <w:szCs w:val="21"/>
              </w:rPr>
              <w:t>4.1.4固体废物防治措施</w:t>
            </w:r>
          </w:p>
          <w:p>
            <w:pPr>
              <w:pStyle w:val="122"/>
              <w:ind w:firstLine="482"/>
              <w:rPr>
                <w:b/>
              </w:rPr>
            </w:pPr>
            <w:r>
              <w:rPr>
                <w:b/>
              </w:rPr>
              <w:t>1、建筑垃圾、废弃土石方防治措施</w:t>
            </w:r>
          </w:p>
          <w:p>
            <w:pPr>
              <w:pStyle w:val="147"/>
            </w:pPr>
            <w:r>
              <w:t>建筑垃圾和废弃土石方堆放不仅影响景观，而且还容易引起扬尘等环境问题，为避免此类问题的出现，对施工中产生的建筑垃圾和废弃土石方必须及时处理。对产生的建筑垃圾中可回收的废钢筋、木材等进行回收，不可回收部分和废弃土石方一起，送至相关部门指定场所处置。</w:t>
            </w:r>
          </w:p>
          <w:p>
            <w:pPr>
              <w:pStyle w:val="147"/>
            </w:pPr>
            <w:r>
              <w:t>车辆运输时须进行密闭，不得沿途遗撒；运载车辆须在规定的时间、按指定的路段行驶。建设过程中应加强管理，文明施工，使建设期间对周围环境的影响减少到最低限度。</w:t>
            </w:r>
          </w:p>
          <w:p>
            <w:pPr>
              <w:pStyle w:val="122"/>
              <w:ind w:firstLine="482"/>
              <w:rPr>
                <w:b/>
              </w:rPr>
            </w:pPr>
            <w:r>
              <w:rPr>
                <w:b/>
              </w:rPr>
              <w:t>2、生活垃圾防治措施</w:t>
            </w:r>
          </w:p>
          <w:p>
            <w:pPr>
              <w:pStyle w:val="147"/>
            </w:pPr>
            <w:r>
              <w:t>施工人员生活垃圾，集中收集后运至团结乡市政垃圾收集点，最终由环卫部门清运处置。</w:t>
            </w:r>
          </w:p>
          <w:p>
            <w:pPr>
              <w:pStyle w:val="147"/>
              <w:rPr>
                <w:bCs/>
                <w:spacing w:val="-10"/>
                <w:szCs w:val="21"/>
              </w:rPr>
            </w:pPr>
            <w:r>
              <w:t>综上，在各项环保措施得到切实实施的情况下，项目环保工程及配套设施建设过程产生的环境影响较小，且为暂时的，随着施工期的结束而消失，对周围环境产生的影响较小。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 w:type="dxa"/>
            <w:tcMar>
              <w:left w:w="28" w:type="dxa"/>
              <w:right w:w="28" w:type="dxa"/>
            </w:tcMar>
            <w:vAlign w:val="center"/>
          </w:tcPr>
          <w:p>
            <w:pPr>
              <w:adjustRightInd w:val="0"/>
              <w:snapToGrid w:val="0"/>
              <w:jc w:val="center"/>
              <w:rPr>
                <w:bCs/>
                <w:sz w:val="24"/>
              </w:rPr>
            </w:pPr>
            <w:r>
              <w:rPr>
                <w:bCs/>
                <w:sz w:val="24"/>
              </w:rPr>
              <w:t>运营期环境影响和保护措施</w:t>
            </w:r>
          </w:p>
        </w:tc>
        <w:tc>
          <w:tcPr>
            <w:tcW w:w="8629" w:type="dxa"/>
          </w:tcPr>
          <w:p>
            <w:pPr>
              <w:wordWrap w:val="0"/>
              <w:autoSpaceDE w:val="0"/>
              <w:autoSpaceDN w:val="0"/>
              <w:adjustRightInd w:val="0"/>
              <w:snapToGrid w:val="0"/>
              <w:spacing w:before="120" w:beforeLines="50" w:after="120" w:afterLines="50" w:line="360" w:lineRule="auto"/>
              <w:rPr>
                <w:b/>
                <w:kern w:val="0"/>
                <w:sz w:val="28"/>
                <w:szCs w:val="21"/>
              </w:rPr>
            </w:pPr>
            <w:r>
              <w:rPr>
                <w:b/>
                <w:kern w:val="0"/>
                <w:sz w:val="28"/>
                <w:szCs w:val="21"/>
              </w:rPr>
              <w:t>4.2运营期环境影响和保护措施</w:t>
            </w:r>
          </w:p>
          <w:p>
            <w:pPr>
              <w:wordWrap w:val="0"/>
              <w:autoSpaceDE w:val="0"/>
              <w:autoSpaceDN w:val="0"/>
              <w:adjustRightInd w:val="0"/>
              <w:snapToGrid w:val="0"/>
              <w:spacing w:before="60" w:beforeLines="25" w:after="60" w:afterLines="25" w:line="360" w:lineRule="auto"/>
              <w:rPr>
                <w:b/>
                <w:kern w:val="0"/>
                <w:sz w:val="24"/>
                <w:szCs w:val="21"/>
              </w:rPr>
            </w:pPr>
            <w:r>
              <w:rPr>
                <w:b/>
                <w:kern w:val="0"/>
                <w:sz w:val="24"/>
                <w:szCs w:val="21"/>
              </w:rPr>
              <w:t>4.2.1大气环境影响和保护措施</w:t>
            </w:r>
          </w:p>
          <w:p>
            <w:pPr>
              <w:pStyle w:val="124"/>
              <w:ind w:firstLine="480"/>
              <w:rPr>
                <w:sz w:val="24"/>
              </w:rPr>
            </w:pPr>
            <w:r>
              <w:rPr>
                <w:sz w:val="24"/>
              </w:rPr>
              <w:t>本项目年运行30天，每天工作8小时，营运期产生的废气主要有颗粒物、二氧化硫、氮氧化物、烟（粉）尘、非甲烷总烃、沥青烟、苯并[a]芘。</w:t>
            </w:r>
          </w:p>
          <w:p>
            <w:pPr>
              <w:pStyle w:val="147"/>
            </w:pPr>
            <w:r>
              <w:t>（1）投料粉尘</w:t>
            </w:r>
          </w:p>
          <w:p>
            <w:pPr>
              <w:pStyle w:val="147"/>
            </w:pPr>
            <w:r>
              <w:t>项目营运期年使用骨料和粉料（石粉）约1514t，投料时粉尘产生量约15.14kg/a，产生速率为0.0631kg/h，皮带给料器（料斗）采用彩钢瓦进行三面封闭，并加装喷淋装置，投料作业时对投料粉尘进行洒水喷湿降尘，采取上述措施后抑尘率按80%计，则装卸粉尘排放量为3.028kg/a，排放速率为0.0126kg/h，呈无组织排放；</w:t>
            </w:r>
          </w:p>
          <w:p>
            <w:pPr>
              <w:pStyle w:val="147"/>
            </w:pPr>
            <w:r>
              <w:t>（2）烘干废气</w:t>
            </w:r>
          </w:p>
          <w:p>
            <w:pPr>
              <w:pStyle w:val="147"/>
            </w:pPr>
            <w:r>
              <w:fldChar w:fldCharType="begin"/>
            </w:r>
            <w:r>
              <w:instrText xml:space="preserve"> = 1 \* GB3 </w:instrText>
            </w:r>
            <w:r>
              <w:fldChar w:fldCharType="separate"/>
            </w:r>
            <w:r>
              <w:t>①</w:t>
            </w:r>
            <w:r>
              <w:fldChar w:fldCharType="end"/>
            </w:r>
            <w:r>
              <w:t>烘干烟尘：项目运营期，在骨料进入搅拌器进行拌合前需进入烘干滚筒进行炒料加热，在炒料加热过程中，将会产生一定量的粉尘，烘干粉尘产生量约378.5kg/a、3.154kg/h，项目采用两级除尘系统（重力除尘器+大气反吹式布袋除尘器）对烘干烟尘进行收集，除尘系统风量为45000m</w:t>
            </w:r>
            <w:r>
              <w:rPr>
                <w:vertAlign w:val="superscript"/>
              </w:rPr>
              <w:t>3</w:t>
            </w:r>
            <w:r>
              <w:t>/h，烘干滚筒全密闭设备，直接与两级除尘系统相连，废气收集效率达99%，粉尘控制率可达99%。烘干废气经两级除尘系统（重力除尘+大气反吹式布袋除尘）收集处理后经15m高排气筒DA001排放。根据计算，经除尘系统处理后，工业废气总量为540万m</w:t>
            </w:r>
            <w:r>
              <w:rPr>
                <w:vertAlign w:val="superscript"/>
              </w:rPr>
              <w:t>3</w:t>
            </w:r>
            <w:r>
              <w:t>/h，烘干烟尘最终有组织排放量约3.785kg/a，排放速率约0.0315kg/h，排放浓度约0.7mg/m</w:t>
            </w:r>
            <w:r>
              <w:rPr>
                <w:vertAlign w:val="superscript"/>
              </w:rPr>
              <w:t>3</w:t>
            </w:r>
            <w:r>
              <w:t>；</w:t>
            </w:r>
          </w:p>
          <w:p>
            <w:pPr>
              <w:pStyle w:val="147"/>
            </w:pPr>
            <w:r>
              <w:fldChar w:fldCharType="begin"/>
            </w:r>
            <w:r>
              <w:instrText xml:space="preserve"> = 2 \* GB3 </w:instrText>
            </w:r>
            <w:r>
              <w:fldChar w:fldCharType="separate"/>
            </w:r>
            <w:r>
              <w:t>②</w:t>
            </w:r>
            <w:r>
              <w:fldChar w:fldCharType="end"/>
            </w:r>
            <w:r>
              <w:t>燃烧废气：项目营运期拟用柴油用量约5.0t/a，工业废气产生总量约8.902万m</w:t>
            </w:r>
            <w:r>
              <w:rPr>
                <w:vertAlign w:val="superscript"/>
              </w:rPr>
              <w:t>3</w:t>
            </w:r>
            <w:r>
              <w:t>，二氧化硫产生总量约0.095kg/a，烟尘产生总量约1.3kg/a，氮氧化物产生总量约18.35kg/a。燃烧废气经两级除尘系统（重力除尘+大气反吹式布袋除尘）收集处理后经15m高排气筒DA001排放；</w:t>
            </w:r>
          </w:p>
          <w:p>
            <w:pPr>
              <w:pStyle w:val="147"/>
            </w:pPr>
            <w:r>
              <w:t>（3）有机废气</w:t>
            </w:r>
          </w:p>
          <w:p>
            <w:pPr>
              <w:pStyle w:val="147"/>
            </w:pPr>
            <w:r>
              <w:fldChar w:fldCharType="begin"/>
            </w:r>
            <w:r>
              <w:instrText xml:space="preserve"> = 1 \* GB3 </w:instrText>
            </w:r>
            <w:r>
              <w:fldChar w:fldCharType="separate"/>
            </w:r>
            <w:r>
              <w:t>①</w:t>
            </w:r>
            <w:r>
              <w:fldChar w:fldCharType="end"/>
            </w:r>
            <w:r>
              <w:t>储罐呼吸废气：项目营运期、柴油存储在柴油储罐中、石油沥青储存在沥青储存罐中，在此过程中会产生一定量的挥发性有机废气（以非甲烷总烃计）产生量约145kg/a、0.2013kg/h。</w:t>
            </w:r>
          </w:p>
          <w:p>
            <w:pPr>
              <w:pStyle w:val="147"/>
            </w:pPr>
            <w:r>
              <w:fldChar w:fldCharType="begin"/>
            </w:r>
            <w:r>
              <w:instrText xml:space="preserve"> = 2 \* GB3 </w:instrText>
            </w:r>
            <w:r>
              <w:fldChar w:fldCharType="separate"/>
            </w:r>
            <w:r>
              <w:t>②</w:t>
            </w:r>
            <w:r>
              <w:fldChar w:fldCharType="end"/>
            </w:r>
            <w:r>
              <w:t>沥青加热、拌合、卸料：项目生产所需沥青通过电加热器加热导热油从而进行间接加热，再由沥青泵送入拌合楼系统中，因此在沥青加热、混合搅拌、卸料工序会产生一定量的有机废气，其主要含有沥青烟产生量约15.1kg/a，产生速率0.0717kg/h；苯并[a]比产生量约1.075×10</w:t>
            </w:r>
            <w:r>
              <w:rPr>
                <w:vertAlign w:val="superscript"/>
              </w:rPr>
              <w:t>-2</w:t>
            </w:r>
            <w:r>
              <w:t>kg/a，产生速率4.479×10</w:t>
            </w:r>
            <w:r>
              <w:rPr>
                <w:vertAlign w:val="superscript"/>
              </w:rPr>
              <w:t>-5</w:t>
            </w:r>
            <w:r>
              <w:t>kg/h。</w:t>
            </w:r>
          </w:p>
          <w:p>
            <w:pPr>
              <w:pStyle w:val="147"/>
            </w:pPr>
            <w:r>
              <w:t xml:space="preserve">本项目柴油储罐呼吸废气通过固定罐顶部设有呼吸口（设置单向阀）排出通过专用钢质管道引入“活性炭二级吸附”装置处理后通过15m高排气筒DA002排放；本项目沥青储罐呼吸废气通过固定罐顶部设有呼吸口（设置单向阀）排出通过专用钢质管道引入“喷淋塔+活性炭二级吸附”处理后通过15m高排气筒DA002排放；沥青加热、拌合及卸料废气，通过卸料口设置的集气罩收集后，通过专用钢质管道引入“喷淋塔+活性炭二级吸附”处理后通过15m高排气筒DA002排放； </w:t>
            </w:r>
          </w:p>
          <w:p>
            <w:pPr>
              <w:pStyle w:val="124"/>
              <w:ind w:firstLine="480"/>
              <w:rPr>
                <w:sz w:val="24"/>
              </w:rPr>
            </w:pPr>
            <w:r>
              <w:rPr>
                <w:sz w:val="24"/>
              </w:rPr>
              <w:t>根据预测，项目区内排放的非甲烷总烃、沥青烟、苯并[a]芘、二氧化硫、氮氧化物、颗粒物等满足《大气污染物综合排放标准》（GB16297-1996）中无组织限值要求。</w:t>
            </w:r>
          </w:p>
          <w:p>
            <w:pPr>
              <w:pStyle w:val="147"/>
            </w:pPr>
            <w:r>
              <w:t>根据《环境影响评价技术导则 大气环境》（HJ2.2-2018）第8.8.5.1条，采用进一步预测模型模拟评价基准年内，本项目所有污染源（改建、扩建项目应包括全厂现有污染源）对厂界外主要污染物的短期贡献浓度分析。本项目评价等级为二级，结合HJ2.2-2018 中的8.1.2条规定，二级评价项目不进行进一步预测与评价，只对污染物排放量进行核算，本项目不需设置大气环境防护距离；本项目设置卫生防护距离为生产区（沥青储存区、沥青搅拌楼）边界外延50m范围，根据调查，卫生防护范围内无居民点及企业办公生活区。在认真落实环评提出的各项污染防治措施后，大气环境不利环境影响可以得到有效控制和缓解，项目后期运营对区域大气环境的影响在可接受范围内。</w:t>
            </w:r>
          </w:p>
          <w:p>
            <w:pPr>
              <w:pStyle w:val="124"/>
              <w:ind w:firstLine="480"/>
              <w:rPr>
                <w:sz w:val="24"/>
              </w:rPr>
            </w:pPr>
            <w:r>
              <w:rPr>
                <w:sz w:val="24"/>
              </w:rPr>
              <w:t>在非正常情况下大气污染物均可做到达标排放，但排放浓度明显高于正常排放阶段，将会对区域大气环境会产生一定影响。考虑本项目非正常情况可在1h内被发现，超标排放时间相对较短，排放量相对较小。因此，非正常情况下大气污染物超标排放只要在极短时间内被发现，对区域大气环境所造成的影响不会太大。</w:t>
            </w:r>
          </w:p>
          <w:p>
            <w:pPr>
              <w:pStyle w:val="124"/>
              <w:ind w:firstLine="480"/>
              <w:rPr>
                <w:sz w:val="24"/>
              </w:rPr>
            </w:pPr>
            <w:r>
              <w:rPr>
                <w:sz w:val="24"/>
              </w:rPr>
              <w:t>总体来看，项目运营期大气污染物排放对区域大气环境及环境敏感目标的影响在可接受范围之内（大气环境影响和保护措施详见大气专项评价）。</w:t>
            </w:r>
          </w:p>
          <w:p>
            <w:pPr>
              <w:pStyle w:val="144"/>
            </w:pPr>
            <w:r>
              <w:t>4.2.2废水环境影响和保护措施</w:t>
            </w:r>
          </w:p>
          <w:p>
            <w:pPr>
              <w:adjustRightInd w:val="0"/>
              <w:snapToGrid w:val="0"/>
              <w:spacing w:line="360" w:lineRule="auto"/>
              <w:ind w:firstLine="482" w:firstLineChars="200"/>
              <w:rPr>
                <w:b/>
                <w:bCs/>
                <w:sz w:val="24"/>
              </w:rPr>
            </w:pPr>
            <w:r>
              <w:rPr>
                <w:b/>
                <w:bCs/>
                <w:sz w:val="24"/>
              </w:rPr>
              <w:t>1、污染源源强核算</w:t>
            </w:r>
          </w:p>
          <w:p>
            <w:pPr>
              <w:pStyle w:val="147"/>
            </w:pPr>
            <w:r>
              <w:t>根据工程分析可知，本项目废水主要为生活污水（办公废水）、喷淋塔循环废水和初期雨水。</w:t>
            </w:r>
          </w:p>
          <w:p>
            <w:pPr>
              <w:pStyle w:val="147"/>
              <w:rPr>
                <w:lang w:bidi="ar"/>
              </w:rPr>
            </w:pPr>
            <w:r>
              <w:t>根据工程分析本项目运营期间均不在项目区内食宿，其产生的生活污水主要为工作人员洗手、如厕废水，办公废水产生量为0.135m³/d、4.05m³/a，依托</w:t>
            </w:r>
            <w:r>
              <w:rPr>
                <w:rStyle w:val="140"/>
              </w:rPr>
              <w:t>云龙公路分局河南石料场公路养护配套改扩建项目</w:t>
            </w:r>
            <w:r>
              <w:t>旱厕处理后委托附近村庄村民清掏用于农田施肥，不对外排放；营运期沥青储存罐、搅拌缸出料口产生的沥青烟气经收集后排入喷淋塔内，采用喷洒循环水（直接冷却）方式对沥青烟气进行冷凝，此过程需要定期对循环水进行更换，根据工程分析喷淋塔循环废水产生量约为2m³/次，4m³/a，采用容积为</w:t>
            </w:r>
            <w:r>
              <w:rPr>
                <w:lang w:bidi="ar"/>
              </w:rPr>
              <w:t>2m³废水储存罐收集后及时运送到沥青路面摊铺现场作为乳化沥青配浆用水使用，不直接外排</w:t>
            </w:r>
            <w:r>
              <w:t>；初期雨水产生量为1.6m³/d、48m³/a，单次降雨初期雨水最大产生量为24m³，项目拟建1座容积为30m³的初期雨水收集池沉淀处理后非雨天回用于项目区场地及道路洒水降尘。</w:t>
            </w:r>
          </w:p>
          <w:p>
            <w:pPr>
              <w:adjustRightInd w:val="0"/>
              <w:snapToGrid w:val="0"/>
              <w:spacing w:line="360" w:lineRule="auto"/>
              <w:ind w:firstLine="482" w:firstLineChars="200"/>
              <w:rPr>
                <w:b/>
                <w:bCs/>
                <w:sz w:val="24"/>
              </w:rPr>
            </w:pPr>
            <w:r>
              <w:rPr>
                <w:b/>
                <w:bCs/>
                <w:sz w:val="24"/>
              </w:rPr>
              <w:t>2、废水环境影响分析</w:t>
            </w:r>
          </w:p>
          <w:p>
            <w:pPr>
              <w:pStyle w:val="139"/>
              <w:ind w:firstLine="480"/>
            </w:pPr>
            <w:r>
              <w:t>（1）初期雨水处置措施及可行性</w:t>
            </w:r>
          </w:p>
          <w:p>
            <w:pPr>
              <w:pStyle w:val="139"/>
              <w:ind w:firstLine="480"/>
            </w:pPr>
            <w:r>
              <w:t>为避免雨天项目区初期雨水直接外排进入黑惠江，对黑惠江水质造成影响，建设单位拟于项目区南侧现有雨水沟排水口处修建一座容积为30m³的雨天初期雨水收集池。初期雨水经收集沉淀降解预处理后晴天回用于场地洒水降尘。根据上述分析计算结果，项目营运期初期雨水最大产生量约24m³/次，项目拟建30m³初期雨水收集池能满足极端暴雨天气下初期雨水收集暂存需求。</w:t>
            </w:r>
          </w:p>
          <w:p>
            <w:pPr>
              <w:pStyle w:val="139"/>
              <w:ind w:firstLine="480"/>
            </w:pPr>
            <w:r>
              <w:t>（2）喷淋塔循环废水处置措施及可行性</w:t>
            </w:r>
          </w:p>
          <w:p>
            <w:pPr>
              <w:pStyle w:val="139"/>
              <w:ind w:firstLine="480"/>
            </w:pPr>
            <w:r>
              <w:t>根据计算，项目营运期喷淋塔循环废水更换产生量约4m³/a，本次评价提出建设单位将更换循环用水采用储水罐进行收集后清运至沥青路面摊铺现场作为乳化沥青配浆用水使用，不直接外排。</w:t>
            </w:r>
          </w:p>
          <w:p>
            <w:pPr>
              <w:pStyle w:val="139"/>
              <w:ind w:firstLine="480"/>
            </w:pPr>
            <w:r>
              <w:t>（3）生活污水处置措施及可行性</w:t>
            </w:r>
          </w:p>
          <w:p>
            <w:pPr>
              <w:pStyle w:val="139"/>
              <w:ind w:firstLine="480"/>
            </w:pPr>
            <w:r>
              <w:t>本项目生活污水产生量为0.135m³/d、4.05m³/a，依托</w:t>
            </w:r>
            <w:r>
              <w:rPr>
                <w:rStyle w:val="140"/>
              </w:rPr>
              <w:t>云龙公路分局河南石料场公路养护配套改扩建项目</w:t>
            </w:r>
            <w:r>
              <w:t>旱厕处理后委托附近村庄村民清掏用于农田施肥，不对外排放；</w:t>
            </w:r>
          </w:p>
          <w:p>
            <w:pPr>
              <w:pStyle w:val="139"/>
              <w:ind w:firstLine="482"/>
              <w:rPr>
                <w:b/>
                <w:kern w:val="0"/>
                <w:szCs w:val="21"/>
              </w:rPr>
            </w:pPr>
            <w:r>
              <w:rPr>
                <w:b/>
                <w:bCs/>
              </w:rPr>
              <w:t>2、地表水环境影响分析</w:t>
            </w:r>
          </w:p>
          <w:p>
            <w:pPr>
              <w:pStyle w:val="147"/>
            </w:pPr>
            <w:r>
              <w:t>项目区周边不存在饮用水源地等需要特殊保护的地表水环境保护目标，项目营运期工作人员均不在项目区内食宿，生活污水主要为工作人员洗手、如厕废水，办公废水产生量为0.135m³/d、4.05m³/a，依托</w:t>
            </w:r>
            <w:r>
              <w:rPr>
                <w:rStyle w:val="140"/>
              </w:rPr>
              <w:t>云龙公路分局河南石料场公路养护配套改扩建项目</w:t>
            </w:r>
            <w:r>
              <w:t>旱厕处理后委托附近村庄村民清掏用于农田施肥，不外排；营运期生产废水主要为喷淋塔循环废水，产生量约为2m³/次，4m³/a，采用容积为</w:t>
            </w:r>
            <w:r>
              <w:rPr>
                <w:lang w:bidi="ar"/>
              </w:rPr>
              <w:t>2m³废水储存罐收集后及时运送到沥青路面摊铺现场作为乳化沥青配浆用水使用，不直接外排</w:t>
            </w:r>
            <w:r>
              <w:t>；初期雨水产生量为1.6m³/d、48m³/a，单次降雨初期雨水最大产生量为24m³，项目拟建1座容积为30m³的初期雨水收集池沉淀处理后非雨天回用于项目区场地及道路洒水降尘，不外排。</w:t>
            </w:r>
          </w:p>
          <w:p>
            <w:pPr>
              <w:pStyle w:val="147"/>
            </w:pPr>
            <w:r>
              <w:t>综上，运营期生活污水、喷淋塔循环废水和初期雨水均能够妥善处置，对周边地表水环境影响较小。</w:t>
            </w:r>
          </w:p>
          <w:p>
            <w:pPr>
              <w:pStyle w:val="111"/>
            </w:pPr>
            <w:r>
              <w:t>4.2.3噪声环境影响和保护措施</w:t>
            </w:r>
          </w:p>
          <w:p>
            <w:pPr>
              <w:pStyle w:val="164"/>
            </w:pPr>
            <w:r>
              <w:t>1、污染源源强分析</w:t>
            </w:r>
          </w:p>
          <w:p>
            <w:pPr>
              <w:pStyle w:val="139"/>
              <w:ind w:firstLine="480"/>
              <w:rPr>
                <w:bCs/>
              </w:rPr>
            </w:pPr>
            <w:r>
              <w:rPr>
                <w:bCs/>
              </w:rPr>
              <w:t>a、</w:t>
            </w:r>
            <w:r>
              <w:t>交通噪声</w:t>
            </w:r>
          </w:p>
          <w:p>
            <w:pPr>
              <w:pStyle w:val="139"/>
              <w:ind w:firstLine="480"/>
            </w:pPr>
            <w:r>
              <w:t>项目运营期，装载机、运输车辆产生的噪声值在75～85dB（A）之间，属于间歇性噪声，会对周围环境造成一定影响。因车辆在项目区内为低速行驶状态，通过加强管理、禁止鸣笛等措施后，交通噪声对周围环境的影响是可以接受的。</w:t>
            </w:r>
          </w:p>
          <w:p>
            <w:pPr>
              <w:pStyle w:val="139"/>
              <w:ind w:firstLine="480"/>
            </w:pPr>
            <w:r>
              <w:t>b、固定噪声源</w:t>
            </w:r>
          </w:p>
          <w:p>
            <w:pPr>
              <w:pStyle w:val="139"/>
              <w:ind w:firstLine="480"/>
              <w:rPr>
                <w:kern w:val="0"/>
                <w:lang w:bidi="ar"/>
              </w:rPr>
            </w:pPr>
            <w:r>
              <w:rPr>
                <w:kern w:val="0"/>
                <w:lang w:bidi="ar"/>
              </w:rPr>
              <w:t>（1）噪声源分析</w:t>
            </w:r>
          </w:p>
          <w:p>
            <w:pPr>
              <w:pStyle w:val="139"/>
              <w:ind w:firstLine="480"/>
            </w:pPr>
            <w:r>
              <w:t>项目营运期噪声主要为设施设备运行噪声，</w:t>
            </w:r>
            <w:r>
              <w:rPr>
                <w:rStyle w:val="99"/>
              </w:rPr>
              <w:t>皮带传输机、提升机、烘干滚筒、搅拌器及环保设备风机</w:t>
            </w:r>
            <w:r>
              <w:t>等，主要设备噪声源强在75~85dB（A）之间，具体噪声源强见表4-1。</w:t>
            </w: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p>
            <w:pPr>
              <w:pStyle w:val="139"/>
              <w:ind w:firstLine="480"/>
            </w:pPr>
          </w:p>
        </w:tc>
      </w:tr>
    </w:tbl>
    <w:p>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p>
      <w:pPr>
        <w:pStyle w:val="168"/>
      </w:pPr>
      <w:r>
        <w:t>表4-1   工业企业噪声源强调查清单（室外声源）  单位：dB（A）</w:t>
      </w:r>
    </w:p>
    <w:tbl>
      <w:tblPr>
        <w:tblStyle w:val="29"/>
        <w:tblW w:w="13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42"/>
        <w:gridCol w:w="1183"/>
        <w:gridCol w:w="799"/>
        <w:gridCol w:w="759"/>
        <w:gridCol w:w="399"/>
        <w:gridCol w:w="2225"/>
        <w:gridCol w:w="1701"/>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vAlign w:val="center"/>
          </w:tcPr>
          <w:p>
            <w:pPr>
              <w:pStyle w:val="167"/>
            </w:pPr>
            <w:r>
              <w:t>序号</w:t>
            </w:r>
          </w:p>
        </w:tc>
        <w:tc>
          <w:tcPr>
            <w:tcW w:w="1942" w:type="dxa"/>
            <w:vMerge w:val="restart"/>
            <w:vAlign w:val="center"/>
          </w:tcPr>
          <w:p>
            <w:pPr>
              <w:pStyle w:val="167"/>
            </w:pPr>
            <w:r>
              <w:t>声源名称</w:t>
            </w:r>
          </w:p>
        </w:tc>
        <w:tc>
          <w:tcPr>
            <w:tcW w:w="1183" w:type="dxa"/>
            <w:vMerge w:val="restart"/>
            <w:vAlign w:val="center"/>
          </w:tcPr>
          <w:p>
            <w:pPr>
              <w:pStyle w:val="167"/>
            </w:pPr>
            <w:r>
              <w:t>型号</w:t>
            </w:r>
          </w:p>
        </w:tc>
        <w:tc>
          <w:tcPr>
            <w:tcW w:w="1957" w:type="dxa"/>
            <w:gridSpan w:val="3"/>
            <w:vAlign w:val="center"/>
          </w:tcPr>
          <w:p>
            <w:pPr>
              <w:pStyle w:val="167"/>
            </w:pPr>
            <w:r>
              <w:t>空间相对位置/m</w:t>
            </w:r>
          </w:p>
        </w:tc>
        <w:tc>
          <w:tcPr>
            <w:tcW w:w="2225" w:type="dxa"/>
            <w:vAlign w:val="center"/>
          </w:tcPr>
          <w:p>
            <w:pPr>
              <w:pStyle w:val="167"/>
            </w:pPr>
            <w:r>
              <w:t>声源源强</w:t>
            </w:r>
          </w:p>
        </w:tc>
        <w:tc>
          <w:tcPr>
            <w:tcW w:w="1701" w:type="dxa"/>
            <w:vMerge w:val="restart"/>
            <w:vAlign w:val="center"/>
          </w:tcPr>
          <w:p>
            <w:pPr>
              <w:pStyle w:val="167"/>
            </w:pPr>
            <w:r>
              <w:t>声源控制措施</w:t>
            </w:r>
          </w:p>
        </w:tc>
        <w:tc>
          <w:tcPr>
            <w:tcW w:w="3487" w:type="dxa"/>
            <w:vMerge w:val="restart"/>
            <w:vAlign w:val="center"/>
          </w:tcPr>
          <w:p>
            <w:pPr>
              <w:pStyle w:val="167"/>
            </w:pPr>
            <w: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vAlign w:val="center"/>
          </w:tcPr>
          <w:p>
            <w:pPr>
              <w:pStyle w:val="167"/>
            </w:pPr>
          </w:p>
        </w:tc>
        <w:tc>
          <w:tcPr>
            <w:tcW w:w="1942" w:type="dxa"/>
            <w:vMerge w:val="continue"/>
            <w:vAlign w:val="center"/>
          </w:tcPr>
          <w:p>
            <w:pPr>
              <w:pStyle w:val="167"/>
            </w:pPr>
          </w:p>
        </w:tc>
        <w:tc>
          <w:tcPr>
            <w:tcW w:w="1183" w:type="dxa"/>
            <w:vMerge w:val="continue"/>
            <w:vAlign w:val="center"/>
          </w:tcPr>
          <w:p>
            <w:pPr>
              <w:pStyle w:val="167"/>
            </w:pPr>
          </w:p>
        </w:tc>
        <w:tc>
          <w:tcPr>
            <w:tcW w:w="799" w:type="dxa"/>
            <w:vAlign w:val="center"/>
          </w:tcPr>
          <w:p>
            <w:pPr>
              <w:pStyle w:val="167"/>
            </w:pPr>
            <w:r>
              <w:t>X</w:t>
            </w:r>
          </w:p>
        </w:tc>
        <w:tc>
          <w:tcPr>
            <w:tcW w:w="759" w:type="dxa"/>
            <w:vAlign w:val="center"/>
          </w:tcPr>
          <w:p>
            <w:pPr>
              <w:pStyle w:val="167"/>
            </w:pPr>
            <w:r>
              <w:t>Y</w:t>
            </w:r>
          </w:p>
        </w:tc>
        <w:tc>
          <w:tcPr>
            <w:tcW w:w="399" w:type="dxa"/>
            <w:vAlign w:val="center"/>
          </w:tcPr>
          <w:p>
            <w:pPr>
              <w:pStyle w:val="167"/>
            </w:pPr>
            <w:r>
              <w:t>Z</w:t>
            </w:r>
          </w:p>
        </w:tc>
        <w:tc>
          <w:tcPr>
            <w:tcW w:w="2225" w:type="dxa"/>
            <w:vAlign w:val="center"/>
          </w:tcPr>
          <w:p>
            <w:pPr>
              <w:pStyle w:val="167"/>
            </w:pPr>
            <w:r>
              <w:t>声功率级/dB（A）</w:t>
            </w:r>
          </w:p>
        </w:tc>
        <w:tc>
          <w:tcPr>
            <w:tcW w:w="1701" w:type="dxa"/>
            <w:vMerge w:val="continue"/>
            <w:vAlign w:val="center"/>
          </w:tcPr>
          <w:p>
            <w:pPr>
              <w:pStyle w:val="167"/>
            </w:pPr>
          </w:p>
        </w:tc>
        <w:tc>
          <w:tcPr>
            <w:tcW w:w="3487"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1</w:t>
            </w:r>
          </w:p>
        </w:tc>
        <w:tc>
          <w:tcPr>
            <w:tcW w:w="1942" w:type="dxa"/>
            <w:vAlign w:val="center"/>
          </w:tcPr>
          <w:p>
            <w:pPr>
              <w:pStyle w:val="167"/>
            </w:pPr>
            <w:r>
              <w:t>皮带传输机</w:t>
            </w:r>
          </w:p>
        </w:tc>
        <w:tc>
          <w:tcPr>
            <w:tcW w:w="1183" w:type="dxa"/>
            <w:vAlign w:val="center"/>
          </w:tcPr>
          <w:p>
            <w:pPr>
              <w:pStyle w:val="167"/>
            </w:pPr>
            <w:r>
              <w:rPr>
                <w:rStyle w:val="99"/>
              </w:rPr>
              <w:t>80t/h</w:t>
            </w:r>
          </w:p>
        </w:tc>
        <w:tc>
          <w:tcPr>
            <w:tcW w:w="799" w:type="dxa"/>
            <w:vAlign w:val="center"/>
          </w:tcPr>
          <w:p>
            <w:pPr>
              <w:pStyle w:val="167"/>
            </w:pPr>
            <w:r>
              <w:t>15.11</w:t>
            </w:r>
          </w:p>
        </w:tc>
        <w:tc>
          <w:tcPr>
            <w:tcW w:w="759" w:type="dxa"/>
            <w:vAlign w:val="center"/>
          </w:tcPr>
          <w:p>
            <w:pPr>
              <w:pStyle w:val="167"/>
            </w:pPr>
            <w:r>
              <w:t>28.82</w:t>
            </w:r>
          </w:p>
        </w:tc>
        <w:tc>
          <w:tcPr>
            <w:tcW w:w="399" w:type="dxa"/>
            <w:vAlign w:val="center"/>
          </w:tcPr>
          <w:p>
            <w:pPr>
              <w:pStyle w:val="167"/>
            </w:pPr>
            <w:r>
              <w:t>1</w:t>
            </w:r>
          </w:p>
        </w:tc>
        <w:tc>
          <w:tcPr>
            <w:tcW w:w="2225" w:type="dxa"/>
            <w:vAlign w:val="center"/>
          </w:tcPr>
          <w:p>
            <w:pPr>
              <w:pStyle w:val="167"/>
            </w:pPr>
            <w:r>
              <w:t>75</w:t>
            </w:r>
          </w:p>
        </w:tc>
        <w:tc>
          <w:tcPr>
            <w:tcW w:w="1701" w:type="dxa"/>
            <w:vMerge w:val="restart"/>
            <w:vAlign w:val="center"/>
          </w:tcPr>
          <w:p>
            <w:pPr>
              <w:pStyle w:val="167"/>
            </w:pPr>
            <w:r>
              <w:t>安装减震垫</w:t>
            </w: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2</w:t>
            </w:r>
          </w:p>
        </w:tc>
        <w:tc>
          <w:tcPr>
            <w:tcW w:w="1942" w:type="dxa"/>
            <w:vAlign w:val="center"/>
          </w:tcPr>
          <w:p>
            <w:pPr>
              <w:pStyle w:val="167"/>
            </w:pPr>
            <w:r>
              <w:t>骨料提升机</w:t>
            </w:r>
          </w:p>
        </w:tc>
        <w:tc>
          <w:tcPr>
            <w:tcW w:w="1183" w:type="dxa"/>
            <w:vAlign w:val="center"/>
          </w:tcPr>
          <w:p>
            <w:pPr>
              <w:pStyle w:val="167"/>
            </w:pPr>
            <w:r>
              <w:rPr>
                <w:rStyle w:val="99"/>
              </w:rPr>
              <w:t>72t/h</w:t>
            </w:r>
          </w:p>
        </w:tc>
        <w:tc>
          <w:tcPr>
            <w:tcW w:w="799" w:type="dxa"/>
            <w:vAlign w:val="center"/>
          </w:tcPr>
          <w:p>
            <w:pPr>
              <w:pStyle w:val="167"/>
            </w:pPr>
            <w:r>
              <w:t>12.94</w:t>
            </w:r>
          </w:p>
        </w:tc>
        <w:tc>
          <w:tcPr>
            <w:tcW w:w="759" w:type="dxa"/>
            <w:vAlign w:val="center"/>
          </w:tcPr>
          <w:p>
            <w:pPr>
              <w:pStyle w:val="167"/>
            </w:pPr>
            <w:r>
              <w:t>23.23</w:t>
            </w:r>
          </w:p>
        </w:tc>
        <w:tc>
          <w:tcPr>
            <w:tcW w:w="399" w:type="dxa"/>
            <w:vAlign w:val="center"/>
          </w:tcPr>
          <w:p>
            <w:pPr>
              <w:pStyle w:val="167"/>
            </w:pPr>
            <w:r>
              <w:t>1</w:t>
            </w:r>
          </w:p>
        </w:tc>
        <w:tc>
          <w:tcPr>
            <w:tcW w:w="2225" w:type="dxa"/>
            <w:vAlign w:val="center"/>
          </w:tcPr>
          <w:p>
            <w:pPr>
              <w:pStyle w:val="167"/>
            </w:pPr>
            <w:r>
              <w:t>80</w:t>
            </w:r>
          </w:p>
        </w:tc>
        <w:tc>
          <w:tcPr>
            <w:tcW w:w="1701" w:type="dxa"/>
            <w:vMerge w:val="continue"/>
            <w:vAlign w:val="center"/>
          </w:tcPr>
          <w:p>
            <w:pPr>
              <w:pStyle w:val="167"/>
            </w:pP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3</w:t>
            </w:r>
          </w:p>
        </w:tc>
        <w:tc>
          <w:tcPr>
            <w:tcW w:w="1942" w:type="dxa"/>
            <w:vAlign w:val="center"/>
          </w:tcPr>
          <w:p>
            <w:pPr>
              <w:pStyle w:val="167"/>
            </w:pPr>
            <w:r>
              <w:t>粉料提升机</w:t>
            </w:r>
          </w:p>
        </w:tc>
        <w:tc>
          <w:tcPr>
            <w:tcW w:w="1183" w:type="dxa"/>
            <w:vAlign w:val="center"/>
          </w:tcPr>
          <w:p>
            <w:pPr>
              <w:pStyle w:val="167"/>
            </w:pPr>
            <w:r>
              <w:rPr>
                <w:rStyle w:val="99"/>
              </w:rPr>
              <w:t>17t/h</w:t>
            </w:r>
          </w:p>
        </w:tc>
        <w:tc>
          <w:tcPr>
            <w:tcW w:w="799" w:type="dxa"/>
            <w:vAlign w:val="center"/>
          </w:tcPr>
          <w:p>
            <w:pPr>
              <w:pStyle w:val="167"/>
            </w:pPr>
            <w:r>
              <w:t>13.28</w:t>
            </w:r>
          </w:p>
        </w:tc>
        <w:tc>
          <w:tcPr>
            <w:tcW w:w="759" w:type="dxa"/>
            <w:vAlign w:val="center"/>
          </w:tcPr>
          <w:p>
            <w:pPr>
              <w:pStyle w:val="167"/>
            </w:pPr>
            <w:r>
              <w:t>22.76</w:t>
            </w:r>
          </w:p>
        </w:tc>
        <w:tc>
          <w:tcPr>
            <w:tcW w:w="399" w:type="dxa"/>
            <w:vAlign w:val="center"/>
          </w:tcPr>
          <w:p>
            <w:pPr>
              <w:pStyle w:val="167"/>
            </w:pPr>
            <w:r>
              <w:t>1</w:t>
            </w:r>
          </w:p>
        </w:tc>
        <w:tc>
          <w:tcPr>
            <w:tcW w:w="2225" w:type="dxa"/>
            <w:vAlign w:val="center"/>
          </w:tcPr>
          <w:p>
            <w:pPr>
              <w:pStyle w:val="167"/>
            </w:pPr>
            <w:r>
              <w:t>75</w:t>
            </w:r>
          </w:p>
        </w:tc>
        <w:tc>
          <w:tcPr>
            <w:tcW w:w="1701" w:type="dxa"/>
            <w:vMerge w:val="continue"/>
            <w:vAlign w:val="center"/>
          </w:tcPr>
          <w:p>
            <w:pPr>
              <w:pStyle w:val="167"/>
            </w:pP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4</w:t>
            </w:r>
          </w:p>
        </w:tc>
        <w:tc>
          <w:tcPr>
            <w:tcW w:w="1942" w:type="dxa"/>
            <w:vAlign w:val="center"/>
          </w:tcPr>
          <w:p>
            <w:pPr>
              <w:pStyle w:val="167"/>
            </w:pPr>
            <w:r>
              <w:t>振动筛</w:t>
            </w:r>
          </w:p>
        </w:tc>
        <w:tc>
          <w:tcPr>
            <w:tcW w:w="1183" w:type="dxa"/>
            <w:vAlign w:val="center"/>
          </w:tcPr>
          <w:p>
            <w:pPr>
              <w:pStyle w:val="167"/>
            </w:pPr>
            <w:r>
              <w:rPr>
                <w:rStyle w:val="99"/>
              </w:rPr>
              <w:t>70t/h</w:t>
            </w:r>
          </w:p>
        </w:tc>
        <w:tc>
          <w:tcPr>
            <w:tcW w:w="799" w:type="dxa"/>
            <w:vAlign w:val="center"/>
          </w:tcPr>
          <w:p>
            <w:pPr>
              <w:pStyle w:val="167"/>
            </w:pPr>
            <w:r>
              <w:t>11.57</w:t>
            </w:r>
          </w:p>
        </w:tc>
        <w:tc>
          <w:tcPr>
            <w:tcW w:w="759" w:type="dxa"/>
            <w:vAlign w:val="center"/>
          </w:tcPr>
          <w:p>
            <w:pPr>
              <w:pStyle w:val="167"/>
            </w:pPr>
            <w:r>
              <w:t>22.35</w:t>
            </w:r>
          </w:p>
        </w:tc>
        <w:tc>
          <w:tcPr>
            <w:tcW w:w="399" w:type="dxa"/>
            <w:vAlign w:val="center"/>
          </w:tcPr>
          <w:p>
            <w:pPr>
              <w:pStyle w:val="167"/>
            </w:pPr>
            <w:r>
              <w:t>1</w:t>
            </w:r>
          </w:p>
        </w:tc>
        <w:tc>
          <w:tcPr>
            <w:tcW w:w="2225" w:type="dxa"/>
            <w:vAlign w:val="center"/>
          </w:tcPr>
          <w:p>
            <w:pPr>
              <w:pStyle w:val="167"/>
            </w:pPr>
            <w:r>
              <w:t>75</w:t>
            </w:r>
          </w:p>
        </w:tc>
        <w:tc>
          <w:tcPr>
            <w:tcW w:w="1701" w:type="dxa"/>
            <w:vMerge w:val="continue"/>
            <w:vAlign w:val="center"/>
          </w:tcPr>
          <w:p>
            <w:pPr>
              <w:pStyle w:val="167"/>
            </w:pP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5</w:t>
            </w:r>
          </w:p>
        </w:tc>
        <w:tc>
          <w:tcPr>
            <w:tcW w:w="1942" w:type="dxa"/>
            <w:vAlign w:val="center"/>
          </w:tcPr>
          <w:p>
            <w:pPr>
              <w:pStyle w:val="167"/>
            </w:pPr>
            <w:r>
              <w:t>烘干滚筒</w:t>
            </w:r>
          </w:p>
        </w:tc>
        <w:tc>
          <w:tcPr>
            <w:tcW w:w="1183" w:type="dxa"/>
            <w:vAlign w:val="center"/>
          </w:tcPr>
          <w:p>
            <w:pPr>
              <w:pStyle w:val="167"/>
            </w:pPr>
            <w:r>
              <w:rPr>
                <w:rStyle w:val="99"/>
              </w:rPr>
              <w:t>70t/h</w:t>
            </w:r>
          </w:p>
        </w:tc>
        <w:tc>
          <w:tcPr>
            <w:tcW w:w="799" w:type="dxa"/>
            <w:vAlign w:val="center"/>
          </w:tcPr>
          <w:p>
            <w:pPr>
              <w:pStyle w:val="167"/>
            </w:pPr>
            <w:r>
              <w:t>10.6</w:t>
            </w:r>
          </w:p>
        </w:tc>
        <w:tc>
          <w:tcPr>
            <w:tcW w:w="759" w:type="dxa"/>
            <w:vAlign w:val="center"/>
          </w:tcPr>
          <w:p>
            <w:pPr>
              <w:pStyle w:val="167"/>
            </w:pPr>
            <w:r>
              <w:t>21.74</w:t>
            </w:r>
          </w:p>
        </w:tc>
        <w:tc>
          <w:tcPr>
            <w:tcW w:w="399" w:type="dxa"/>
            <w:vAlign w:val="center"/>
          </w:tcPr>
          <w:p>
            <w:pPr>
              <w:pStyle w:val="167"/>
            </w:pPr>
            <w:r>
              <w:t>1</w:t>
            </w:r>
          </w:p>
        </w:tc>
        <w:tc>
          <w:tcPr>
            <w:tcW w:w="2225" w:type="dxa"/>
            <w:vAlign w:val="center"/>
          </w:tcPr>
          <w:p>
            <w:pPr>
              <w:pStyle w:val="167"/>
            </w:pPr>
            <w:r>
              <w:t>75</w:t>
            </w:r>
          </w:p>
        </w:tc>
        <w:tc>
          <w:tcPr>
            <w:tcW w:w="1701" w:type="dxa"/>
            <w:vMerge w:val="continue"/>
            <w:vAlign w:val="center"/>
          </w:tcPr>
          <w:p>
            <w:pPr>
              <w:pStyle w:val="167"/>
            </w:pP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6</w:t>
            </w:r>
          </w:p>
        </w:tc>
        <w:tc>
          <w:tcPr>
            <w:tcW w:w="1942" w:type="dxa"/>
            <w:vAlign w:val="center"/>
          </w:tcPr>
          <w:p>
            <w:pPr>
              <w:pStyle w:val="167"/>
            </w:pPr>
            <w:r>
              <w:t>搅拌器</w:t>
            </w:r>
          </w:p>
        </w:tc>
        <w:tc>
          <w:tcPr>
            <w:tcW w:w="1183" w:type="dxa"/>
            <w:vAlign w:val="center"/>
          </w:tcPr>
          <w:p>
            <w:pPr>
              <w:pStyle w:val="167"/>
            </w:pPr>
            <w:r>
              <w:rPr>
                <w:rStyle w:val="99"/>
              </w:rPr>
              <w:t>搅拌能力 600kg/批，额定搅拌周期 45s</w:t>
            </w:r>
          </w:p>
        </w:tc>
        <w:tc>
          <w:tcPr>
            <w:tcW w:w="799" w:type="dxa"/>
            <w:vAlign w:val="center"/>
          </w:tcPr>
          <w:p>
            <w:pPr>
              <w:pStyle w:val="167"/>
            </w:pPr>
            <w:r>
              <w:t>7.18</w:t>
            </w:r>
          </w:p>
        </w:tc>
        <w:tc>
          <w:tcPr>
            <w:tcW w:w="759" w:type="dxa"/>
            <w:vAlign w:val="center"/>
          </w:tcPr>
          <w:p>
            <w:pPr>
              <w:pStyle w:val="167"/>
            </w:pPr>
            <w:r>
              <w:t>19.51</w:t>
            </w:r>
          </w:p>
        </w:tc>
        <w:tc>
          <w:tcPr>
            <w:tcW w:w="399" w:type="dxa"/>
            <w:vAlign w:val="center"/>
          </w:tcPr>
          <w:p>
            <w:pPr>
              <w:pStyle w:val="167"/>
            </w:pPr>
            <w:r>
              <w:t>1</w:t>
            </w:r>
          </w:p>
        </w:tc>
        <w:tc>
          <w:tcPr>
            <w:tcW w:w="2225" w:type="dxa"/>
            <w:vAlign w:val="center"/>
          </w:tcPr>
          <w:p>
            <w:pPr>
              <w:pStyle w:val="167"/>
            </w:pPr>
            <w:r>
              <w:t>85</w:t>
            </w:r>
          </w:p>
        </w:tc>
        <w:tc>
          <w:tcPr>
            <w:tcW w:w="1701" w:type="dxa"/>
            <w:vMerge w:val="continue"/>
            <w:vAlign w:val="center"/>
          </w:tcPr>
          <w:p>
            <w:pPr>
              <w:pStyle w:val="167"/>
            </w:pP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7</w:t>
            </w:r>
          </w:p>
        </w:tc>
        <w:tc>
          <w:tcPr>
            <w:tcW w:w="1942" w:type="dxa"/>
            <w:vAlign w:val="center"/>
          </w:tcPr>
          <w:p>
            <w:pPr>
              <w:pStyle w:val="167"/>
            </w:pPr>
            <w:r>
              <w:t>沥青泵</w:t>
            </w:r>
          </w:p>
        </w:tc>
        <w:tc>
          <w:tcPr>
            <w:tcW w:w="1183" w:type="dxa"/>
            <w:vAlign w:val="center"/>
          </w:tcPr>
          <w:p>
            <w:pPr>
              <w:pStyle w:val="167"/>
            </w:pPr>
            <w:r>
              <w:t>/</w:t>
            </w:r>
          </w:p>
        </w:tc>
        <w:tc>
          <w:tcPr>
            <w:tcW w:w="799" w:type="dxa"/>
            <w:vAlign w:val="center"/>
          </w:tcPr>
          <w:p>
            <w:pPr>
              <w:pStyle w:val="167"/>
            </w:pPr>
            <w:r>
              <w:t>17.93</w:t>
            </w:r>
          </w:p>
        </w:tc>
        <w:tc>
          <w:tcPr>
            <w:tcW w:w="759" w:type="dxa"/>
            <w:vAlign w:val="center"/>
          </w:tcPr>
          <w:p>
            <w:pPr>
              <w:pStyle w:val="167"/>
            </w:pPr>
            <w:r>
              <w:t>28.23</w:t>
            </w:r>
          </w:p>
        </w:tc>
        <w:tc>
          <w:tcPr>
            <w:tcW w:w="399" w:type="dxa"/>
            <w:vAlign w:val="center"/>
          </w:tcPr>
          <w:p>
            <w:pPr>
              <w:pStyle w:val="167"/>
            </w:pPr>
            <w:r>
              <w:t>1</w:t>
            </w:r>
          </w:p>
        </w:tc>
        <w:tc>
          <w:tcPr>
            <w:tcW w:w="2225" w:type="dxa"/>
            <w:vAlign w:val="center"/>
          </w:tcPr>
          <w:p>
            <w:pPr>
              <w:pStyle w:val="167"/>
            </w:pPr>
            <w:r>
              <w:t>75</w:t>
            </w:r>
          </w:p>
        </w:tc>
        <w:tc>
          <w:tcPr>
            <w:tcW w:w="1701" w:type="dxa"/>
            <w:vMerge w:val="continue"/>
            <w:vAlign w:val="center"/>
          </w:tcPr>
          <w:p>
            <w:pPr>
              <w:pStyle w:val="167"/>
            </w:pP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8</w:t>
            </w:r>
          </w:p>
        </w:tc>
        <w:tc>
          <w:tcPr>
            <w:tcW w:w="1942" w:type="dxa"/>
            <w:vAlign w:val="center"/>
          </w:tcPr>
          <w:p>
            <w:pPr>
              <w:pStyle w:val="167"/>
            </w:pPr>
            <w:r>
              <w:t>除尘系统风机</w:t>
            </w:r>
          </w:p>
        </w:tc>
        <w:tc>
          <w:tcPr>
            <w:tcW w:w="1183" w:type="dxa"/>
            <w:vAlign w:val="center"/>
          </w:tcPr>
          <w:p>
            <w:pPr>
              <w:pStyle w:val="167"/>
            </w:pPr>
            <w:r>
              <w:t>45000m³/h</w:t>
            </w:r>
          </w:p>
        </w:tc>
        <w:tc>
          <w:tcPr>
            <w:tcW w:w="799" w:type="dxa"/>
            <w:vAlign w:val="center"/>
          </w:tcPr>
          <w:p>
            <w:pPr>
              <w:pStyle w:val="167"/>
            </w:pPr>
            <w:r>
              <w:t>14.48</w:t>
            </w:r>
          </w:p>
        </w:tc>
        <w:tc>
          <w:tcPr>
            <w:tcW w:w="759" w:type="dxa"/>
            <w:vAlign w:val="center"/>
          </w:tcPr>
          <w:p>
            <w:pPr>
              <w:pStyle w:val="167"/>
            </w:pPr>
            <w:r>
              <w:t>20.27</w:t>
            </w:r>
          </w:p>
        </w:tc>
        <w:tc>
          <w:tcPr>
            <w:tcW w:w="399" w:type="dxa"/>
            <w:vAlign w:val="center"/>
          </w:tcPr>
          <w:p>
            <w:pPr>
              <w:pStyle w:val="167"/>
            </w:pPr>
            <w:r>
              <w:t>1</w:t>
            </w:r>
          </w:p>
        </w:tc>
        <w:tc>
          <w:tcPr>
            <w:tcW w:w="2225" w:type="dxa"/>
            <w:vAlign w:val="center"/>
          </w:tcPr>
          <w:p>
            <w:pPr>
              <w:pStyle w:val="167"/>
            </w:pPr>
            <w:r>
              <w:t>85</w:t>
            </w:r>
          </w:p>
        </w:tc>
        <w:tc>
          <w:tcPr>
            <w:tcW w:w="1701" w:type="dxa"/>
            <w:vMerge w:val="continue"/>
            <w:vAlign w:val="center"/>
          </w:tcPr>
          <w:p>
            <w:pPr>
              <w:pStyle w:val="167"/>
            </w:pP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pStyle w:val="167"/>
            </w:pPr>
            <w:r>
              <w:t>9</w:t>
            </w:r>
          </w:p>
        </w:tc>
        <w:tc>
          <w:tcPr>
            <w:tcW w:w="1942" w:type="dxa"/>
            <w:vAlign w:val="center"/>
          </w:tcPr>
          <w:p>
            <w:pPr>
              <w:pStyle w:val="167"/>
            </w:pPr>
            <w:r>
              <w:t>“喷淋塔+活性炭二级吸附”装置统风机</w:t>
            </w:r>
          </w:p>
        </w:tc>
        <w:tc>
          <w:tcPr>
            <w:tcW w:w="1183" w:type="dxa"/>
            <w:vAlign w:val="center"/>
          </w:tcPr>
          <w:p>
            <w:pPr>
              <w:pStyle w:val="167"/>
            </w:pPr>
            <w:r>
              <w:t>15000m³/h</w:t>
            </w:r>
          </w:p>
        </w:tc>
        <w:tc>
          <w:tcPr>
            <w:tcW w:w="799" w:type="dxa"/>
            <w:vAlign w:val="center"/>
          </w:tcPr>
          <w:p>
            <w:pPr>
              <w:pStyle w:val="167"/>
            </w:pPr>
            <w:r>
              <w:t>16.02</w:t>
            </w:r>
          </w:p>
        </w:tc>
        <w:tc>
          <w:tcPr>
            <w:tcW w:w="759" w:type="dxa"/>
            <w:vAlign w:val="center"/>
          </w:tcPr>
          <w:p>
            <w:pPr>
              <w:pStyle w:val="167"/>
            </w:pPr>
            <w:r>
              <w:t>21.16</w:t>
            </w:r>
          </w:p>
        </w:tc>
        <w:tc>
          <w:tcPr>
            <w:tcW w:w="399" w:type="dxa"/>
            <w:vAlign w:val="center"/>
          </w:tcPr>
          <w:p>
            <w:pPr>
              <w:pStyle w:val="167"/>
            </w:pPr>
            <w:r>
              <w:t>1</w:t>
            </w:r>
          </w:p>
        </w:tc>
        <w:tc>
          <w:tcPr>
            <w:tcW w:w="2225" w:type="dxa"/>
            <w:vAlign w:val="center"/>
          </w:tcPr>
          <w:p>
            <w:pPr>
              <w:pStyle w:val="167"/>
            </w:pPr>
            <w:r>
              <w:t>75</w:t>
            </w:r>
          </w:p>
        </w:tc>
        <w:tc>
          <w:tcPr>
            <w:tcW w:w="1701" w:type="dxa"/>
            <w:vMerge w:val="continue"/>
            <w:vAlign w:val="center"/>
          </w:tcPr>
          <w:p>
            <w:pPr>
              <w:pStyle w:val="167"/>
            </w:pPr>
          </w:p>
        </w:tc>
        <w:tc>
          <w:tcPr>
            <w:tcW w:w="3487" w:type="dxa"/>
            <w:vAlign w:val="center"/>
          </w:tcPr>
          <w:p>
            <w:pPr>
              <w:pStyle w:val="167"/>
            </w:pPr>
            <w:r>
              <w:t>8h/d【≤240h（30d×8h）】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28" w:type="dxa"/>
            <w:gridSpan w:val="9"/>
            <w:vAlign w:val="center"/>
          </w:tcPr>
          <w:p>
            <w:pPr>
              <w:pStyle w:val="167"/>
            </w:pPr>
            <w:r>
              <w:t>注：原点位于项目西南侧厂界西南拐角处，原点坐标为：99°62′85.647″,25°68′73.124″</w:t>
            </w:r>
          </w:p>
        </w:tc>
      </w:tr>
    </w:tbl>
    <w:p>
      <w:pPr>
        <w:pStyle w:val="17"/>
        <w:rPr>
          <w:rFonts w:ascii="Times New Roman" w:hAnsi="Times New Roman"/>
        </w:rPr>
      </w:pPr>
    </w:p>
    <w:p>
      <w:pPr>
        <w:pStyle w:val="15"/>
        <w:rPr>
          <w:rFonts w:ascii="Times New Roman" w:hAnsi="Times New Roman"/>
        </w:rPr>
        <w:sectPr>
          <w:pgSz w:w="16840" w:h="11907" w:orient="landscape"/>
          <w:pgMar w:top="1531" w:right="1701" w:bottom="1531" w:left="2127" w:header="851" w:footer="851" w:gutter="0"/>
          <w:cols w:space="720" w:num="1"/>
          <w:docGrid w:linePitch="312" w:charSpace="0"/>
        </w:sectPr>
      </w:pPr>
    </w:p>
    <w:tbl>
      <w:tblPr>
        <w:tblStyle w:val="28"/>
        <w:tblW w:w="89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5"/>
        <w:gridCol w:w="8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95" w:type="dxa"/>
            <w:tcMar>
              <w:left w:w="28" w:type="dxa"/>
              <w:right w:w="28" w:type="dxa"/>
            </w:tcMar>
            <w:vAlign w:val="center"/>
          </w:tcPr>
          <w:p>
            <w:pPr>
              <w:adjustRightInd w:val="0"/>
              <w:snapToGrid w:val="0"/>
              <w:jc w:val="center"/>
              <w:rPr>
                <w:bCs/>
                <w:sz w:val="24"/>
              </w:rPr>
            </w:pPr>
            <w:r>
              <w:rPr>
                <w:bCs/>
                <w:sz w:val="24"/>
              </w:rPr>
              <w:t>运营</w:t>
            </w:r>
          </w:p>
          <w:p>
            <w:pPr>
              <w:adjustRightInd w:val="0"/>
              <w:snapToGrid w:val="0"/>
              <w:jc w:val="center"/>
              <w:rPr>
                <w:bCs/>
                <w:sz w:val="24"/>
              </w:rPr>
            </w:pPr>
            <w:r>
              <w:rPr>
                <w:bCs/>
                <w:sz w:val="24"/>
              </w:rPr>
              <w:t>期环</w:t>
            </w:r>
          </w:p>
          <w:p>
            <w:pPr>
              <w:adjustRightInd w:val="0"/>
              <w:snapToGrid w:val="0"/>
              <w:jc w:val="center"/>
              <w:rPr>
                <w:bCs/>
                <w:sz w:val="24"/>
              </w:rPr>
            </w:pPr>
            <w:r>
              <w:rPr>
                <w:bCs/>
                <w:sz w:val="24"/>
              </w:rPr>
              <w:t>境影</w:t>
            </w:r>
          </w:p>
          <w:p>
            <w:pPr>
              <w:adjustRightInd w:val="0"/>
              <w:snapToGrid w:val="0"/>
              <w:jc w:val="center"/>
              <w:rPr>
                <w:bCs/>
                <w:sz w:val="24"/>
              </w:rPr>
            </w:pPr>
            <w:r>
              <w:rPr>
                <w:bCs/>
                <w:sz w:val="24"/>
              </w:rPr>
              <w:t>响和</w:t>
            </w:r>
          </w:p>
          <w:p>
            <w:pPr>
              <w:adjustRightInd w:val="0"/>
              <w:snapToGrid w:val="0"/>
              <w:jc w:val="center"/>
              <w:rPr>
                <w:bCs/>
                <w:sz w:val="24"/>
              </w:rPr>
            </w:pPr>
            <w:r>
              <w:rPr>
                <w:bCs/>
                <w:sz w:val="24"/>
              </w:rPr>
              <w:t>保护</w:t>
            </w:r>
          </w:p>
          <w:p>
            <w:pPr>
              <w:adjustRightInd w:val="0"/>
              <w:snapToGrid w:val="0"/>
              <w:jc w:val="center"/>
              <w:rPr>
                <w:bCs/>
                <w:sz w:val="24"/>
              </w:rPr>
            </w:pPr>
            <w:r>
              <w:rPr>
                <w:bCs/>
                <w:sz w:val="24"/>
              </w:rPr>
              <w:t>措施</w:t>
            </w:r>
          </w:p>
        </w:tc>
        <w:tc>
          <w:tcPr>
            <w:tcW w:w="8686" w:type="dxa"/>
          </w:tcPr>
          <w:p>
            <w:pPr>
              <w:pStyle w:val="139"/>
              <w:ind w:firstLine="480"/>
            </w:pPr>
            <w:r>
              <w:t>（2）预测范围、点位与评价因子</w:t>
            </w:r>
          </w:p>
          <w:p>
            <w:pPr>
              <w:pStyle w:val="139"/>
              <w:ind w:firstLine="480"/>
            </w:pPr>
            <w:r>
              <w:rPr>
                <w:rFonts w:hint="eastAsia" w:ascii="宋体" w:hAnsi="宋体" w:cs="宋体"/>
              </w:rPr>
              <w:t>①</w:t>
            </w:r>
            <w:r>
              <w:t>噪声预测范围为：厂界外1m。</w:t>
            </w:r>
          </w:p>
          <w:p>
            <w:pPr>
              <w:pStyle w:val="139"/>
              <w:ind w:firstLine="480"/>
            </w:pPr>
            <w:r>
              <w:rPr>
                <w:rFonts w:hint="eastAsia" w:ascii="宋体" w:hAnsi="宋体" w:cs="宋体"/>
              </w:rPr>
              <w:t>②</w:t>
            </w:r>
            <w:r>
              <w:t>预测点位：厂界噪声，在东、南、西、北厂界各设置一个。</w:t>
            </w:r>
          </w:p>
          <w:p>
            <w:pPr>
              <w:pStyle w:val="139"/>
              <w:ind w:firstLine="480"/>
            </w:pPr>
            <w:r>
              <w:rPr>
                <w:rFonts w:hint="eastAsia" w:ascii="宋体" w:hAnsi="宋体" w:cs="宋体"/>
              </w:rPr>
              <w:t>③</w:t>
            </w:r>
            <w:r>
              <w:t>厂界噪声预测因子：昼夜等效连续A声级。</w:t>
            </w:r>
          </w:p>
          <w:p>
            <w:pPr>
              <w:pStyle w:val="139"/>
              <w:ind w:firstLine="480"/>
            </w:pPr>
            <w:r>
              <w:rPr>
                <w:rFonts w:hint="eastAsia" w:ascii="宋体" w:hAnsi="宋体" w:cs="宋体"/>
              </w:rPr>
              <w:t>④</w:t>
            </w:r>
            <w:r>
              <w:t>基础数据</w:t>
            </w:r>
          </w:p>
          <w:p>
            <w:pPr>
              <w:pStyle w:val="139"/>
              <w:ind w:firstLine="480"/>
            </w:pPr>
            <w:r>
              <w:t>项目噪声环境影响预测基础数据见表4-2。</w:t>
            </w:r>
          </w:p>
          <w:p>
            <w:pPr>
              <w:pStyle w:val="168"/>
            </w:pPr>
            <w:r>
              <w:t>表4-2   项目噪声环境影响预测基础数据表</w:t>
            </w:r>
          </w:p>
          <w:tbl>
            <w:tblPr>
              <w:tblStyle w:val="28"/>
              <w:tblW w:w="8463"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4"/>
              <w:gridCol w:w="2776"/>
              <w:gridCol w:w="2117"/>
              <w:gridCol w:w="21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jc w:val="center"/>
              </w:trPr>
              <w:tc>
                <w:tcPr>
                  <w:tcW w:w="1454" w:type="dxa"/>
                  <w:vAlign w:val="center"/>
                </w:tcPr>
                <w:p>
                  <w:pPr>
                    <w:pStyle w:val="167"/>
                  </w:pPr>
                  <w:bookmarkStart w:id="17" w:name="PT_4"/>
                  <w:r>
                    <w:t>序号</w:t>
                  </w:r>
                </w:p>
              </w:tc>
              <w:tc>
                <w:tcPr>
                  <w:tcW w:w="2776" w:type="dxa"/>
                  <w:vAlign w:val="center"/>
                </w:tcPr>
                <w:p>
                  <w:pPr>
                    <w:pStyle w:val="167"/>
                  </w:pPr>
                  <w:r>
                    <w:t>名称</w:t>
                  </w:r>
                </w:p>
              </w:tc>
              <w:tc>
                <w:tcPr>
                  <w:tcW w:w="2117" w:type="dxa"/>
                  <w:vAlign w:val="center"/>
                </w:tcPr>
                <w:p>
                  <w:pPr>
                    <w:pStyle w:val="167"/>
                  </w:pPr>
                  <w:r>
                    <w:t>单位</w:t>
                  </w:r>
                </w:p>
              </w:tc>
              <w:tc>
                <w:tcPr>
                  <w:tcW w:w="2116" w:type="dxa"/>
                  <w:vAlign w:val="center"/>
                </w:tcPr>
                <w:p>
                  <w:pPr>
                    <w:pStyle w:val="167"/>
                  </w:pPr>
                  <w:r>
                    <w:t>数据</w:t>
                  </w:r>
                </w:p>
                <w:bookmarkEnd w:id="17"/>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jc w:val="center"/>
              </w:trPr>
              <w:tc>
                <w:tcPr>
                  <w:tcW w:w="1454" w:type="dxa"/>
                  <w:vAlign w:val="center"/>
                </w:tcPr>
                <w:p>
                  <w:pPr>
                    <w:pStyle w:val="167"/>
                  </w:pPr>
                  <w:r>
                    <w:t>1</w:t>
                  </w:r>
                </w:p>
              </w:tc>
              <w:tc>
                <w:tcPr>
                  <w:tcW w:w="2776" w:type="dxa"/>
                  <w:vAlign w:val="center"/>
                </w:tcPr>
                <w:p>
                  <w:pPr>
                    <w:pStyle w:val="167"/>
                  </w:pPr>
                  <w:r>
                    <w:t>年平均风速</w:t>
                  </w:r>
                </w:p>
              </w:tc>
              <w:tc>
                <w:tcPr>
                  <w:tcW w:w="2117" w:type="dxa"/>
                  <w:vAlign w:val="center"/>
                </w:tcPr>
                <w:p>
                  <w:pPr>
                    <w:pStyle w:val="167"/>
                  </w:pPr>
                  <w:r>
                    <w:t>m/s</w:t>
                  </w:r>
                </w:p>
              </w:tc>
              <w:tc>
                <w:tcPr>
                  <w:tcW w:w="2116" w:type="dxa"/>
                  <w:vAlign w:val="center"/>
                </w:tcPr>
                <w:p>
                  <w:pPr>
                    <w:pStyle w:val="167"/>
                  </w:pPr>
                  <w:r>
                    <w:t>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jc w:val="center"/>
              </w:trPr>
              <w:tc>
                <w:tcPr>
                  <w:tcW w:w="1454" w:type="dxa"/>
                  <w:vAlign w:val="center"/>
                </w:tcPr>
                <w:p>
                  <w:pPr>
                    <w:pStyle w:val="167"/>
                  </w:pPr>
                  <w:r>
                    <w:t>2</w:t>
                  </w:r>
                </w:p>
              </w:tc>
              <w:tc>
                <w:tcPr>
                  <w:tcW w:w="2776" w:type="dxa"/>
                  <w:vAlign w:val="center"/>
                </w:tcPr>
                <w:p>
                  <w:pPr>
                    <w:pStyle w:val="167"/>
                  </w:pPr>
                  <w:r>
                    <w:t>主导风向</w:t>
                  </w:r>
                </w:p>
              </w:tc>
              <w:tc>
                <w:tcPr>
                  <w:tcW w:w="2117" w:type="dxa"/>
                  <w:vAlign w:val="center"/>
                </w:tcPr>
                <w:p>
                  <w:pPr>
                    <w:pStyle w:val="167"/>
                  </w:pPr>
                  <w:r>
                    <w:t>/</w:t>
                  </w:r>
                </w:p>
              </w:tc>
              <w:tc>
                <w:tcPr>
                  <w:tcW w:w="2116" w:type="dxa"/>
                  <w:vAlign w:val="center"/>
                </w:tcPr>
                <w:p>
                  <w:pPr>
                    <w:pStyle w:val="167"/>
                  </w:pPr>
                  <w: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jc w:val="center"/>
              </w:trPr>
              <w:tc>
                <w:tcPr>
                  <w:tcW w:w="1454" w:type="dxa"/>
                  <w:vAlign w:val="center"/>
                </w:tcPr>
                <w:p>
                  <w:pPr>
                    <w:pStyle w:val="167"/>
                  </w:pPr>
                  <w:r>
                    <w:t>3</w:t>
                  </w:r>
                </w:p>
              </w:tc>
              <w:tc>
                <w:tcPr>
                  <w:tcW w:w="2776" w:type="dxa"/>
                  <w:vAlign w:val="center"/>
                </w:tcPr>
                <w:p>
                  <w:pPr>
                    <w:pStyle w:val="167"/>
                  </w:pPr>
                  <w:r>
                    <w:t>年平均气温</w:t>
                  </w:r>
                </w:p>
              </w:tc>
              <w:tc>
                <w:tcPr>
                  <w:tcW w:w="2117" w:type="dxa"/>
                  <w:vAlign w:val="center"/>
                </w:tcPr>
                <w:p>
                  <w:pPr>
                    <w:pStyle w:val="167"/>
                  </w:pPr>
                  <w:r>
                    <w:t>℃</w:t>
                  </w:r>
                </w:p>
              </w:tc>
              <w:tc>
                <w:tcPr>
                  <w:tcW w:w="2116" w:type="dxa"/>
                  <w:vAlign w:val="center"/>
                </w:tcPr>
                <w:p>
                  <w:pPr>
                    <w:pStyle w:val="167"/>
                  </w:pPr>
                  <w:r>
                    <w:t>16.1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jc w:val="center"/>
              </w:trPr>
              <w:tc>
                <w:tcPr>
                  <w:tcW w:w="1454" w:type="dxa"/>
                  <w:vAlign w:val="center"/>
                </w:tcPr>
                <w:p>
                  <w:pPr>
                    <w:pStyle w:val="167"/>
                  </w:pPr>
                  <w:r>
                    <w:t>4</w:t>
                  </w:r>
                </w:p>
              </w:tc>
              <w:tc>
                <w:tcPr>
                  <w:tcW w:w="2776" w:type="dxa"/>
                  <w:vAlign w:val="center"/>
                </w:tcPr>
                <w:p>
                  <w:pPr>
                    <w:pStyle w:val="167"/>
                  </w:pPr>
                  <w:r>
                    <w:t>年平均相对湿度</w:t>
                  </w:r>
                </w:p>
              </w:tc>
              <w:tc>
                <w:tcPr>
                  <w:tcW w:w="2117" w:type="dxa"/>
                  <w:vAlign w:val="center"/>
                </w:tcPr>
                <w:p>
                  <w:pPr>
                    <w:pStyle w:val="167"/>
                  </w:pPr>
                  <w:r>
                    <w:t>%</w:t>
                  </w:r>
                </w:p>
              </w:tc>
              <w:tc>
                <w:tcPr>
                  <w:tcW w:w="2116" w:type="dxa"/>
                  <w:vAlign w:val="center"/>
                </w:tcPr>
                <w:p>
                  <w:pPr>
                    <w:pStyle w:val="167"/>
                  </w:pPr>
                  <w:r>
                    <w:t>68</w:t>
                  </w:r>
                </w:p>
              </w:tc>
            </w:tr>
          </w:tbl>
          <w:p>
            <w:pPr>
              <w:pStyle w:val="139"/>
              <w:ind w:firstLine="480"/>
            </w:pPr>
            <w:r>
              <w:t>声源和预测点间的地形、高差、障碍物、树林、灌木等的分布情况以及地面覆盖情况（如草地、水面、水泥地面、土质地面等）根据现场踏勘、项目总平</w:t>
            </w:r>
            <w:r>
              <w:rPr>
                <w:rFonts w:hint="eastAsia"/>
                <w:lang w:eastAsia="zh-CN"/>
              </w:rPr>
              <w:t>面</w:t>
            </w:r>
            <w:r>
              <w:t>图等，并结合卫星图片地理信息数据确定，数据精度为2m。</w:t>
            </w:r>
          </w:p>
          <w:p>
            <w:pPr>
              <w:pStyle w:val="139"/>
              <w:ind w:firstLine="480"/>
            </w:pPr>
            <w:r>
              <w:t>（3）声环境影响预测</w:t>
            </w:r>
          </w:p>
          <w:p>
            <w:pPr>
              <w:pStyle w:val="139"/>
              <w:ind w:firstLine="480"/>
            </w:pPr>
            <w:r>
              <w:rPr>
                <w:rFonts w:hint="eastAsia" w:ascii="宋体" w:hAnsi="宋体" w:cs="宋体"/>
              </w:rPr>
              <w:t>①</w:t>
            </w:r>
            <w:r>
              <w:t>预测方法</w:t>
            </w:r>
          </w:p>
          <w:p>
            <w:pPr>
              <w:pStyle w:val="139"/>
              <w:ind w:firstLine="480"/>
            </w:pPr>
            <w:r>
              <w:rPr>
                <w:lang w:bidi="ar"/>
              </w:rPr>
              <w:t>噪声传播过程中有三个要素：即声源、传播途径和接受者。根据项目采取的治理措施及降噪效果，采用《环境影响评价技术导则 声环境》（HJ2.4-2021）推荐的工业噪声预测模式，本评价只考虑几何发散引起的衰减量来预测项目对厂界的贡献点的影响。</w:t>
            </w:r>
          </w:p>
          <w:p>
            <w:pPr>
              <w:pStyle w:val="139"/>
              <w:ind w:firstLine="480"/>
            </w:pPr>
            <w:r>
              <w:rPr>
                <w:lang w:bidi="ar"/>
              </w:rPr>
              <w:t>预测方法为：依据各噪声源与各预测点的距离计算出各噪声设备产生的噪声对各预测点的影响值，并根据能量合成法叠加各噪声设备对各预测点的噪声贡献值，来预测分析本项目运营期对厂界及周围声环境的影响。</w:t>
            </w:r>
          </w:p>
          <w:p>
            <w:pPr>
              <w:pStyle w:val="139"/>
              <w:ind w:firstLine="480"/>
            </w:pPr>
            <w:r>
              <w:rPr>
                <w:rFonts w:hint="eastAsia" w:ascii="宋体" w:hAnsi="宋体" w:cs="宋体"/>
              </w:rPr>
              <w:t>②</w:t>
            </w:r>
            <w:r>
              <w:t>预测模式</w:t>
            </w:r>
          </w:p>
          <w:p>
            <w:pPr>
              <w:pStyle w:val="139"/>
              <w:ind w:firstLine="480"/>
              <w:rPr>
                <w:lang w:bidi="ar"/>
              </w:rPr>
            </w:pPr>
            <w:r>
              <w:rPr>
                <w:lang w:bidi="ar"/>
              </w:rPr>
              <w:t>采用《环境影响评价技术 声环境》（HJ2.4-2021）中的噪声预测模式预测本项目的主要噪声设备对周围声环境的影响。预测模式如下：</w:t>
            </w:r>
          </w:p>
          <w:p>
            <w:pPr>
              <w:pStyle w:val="139"/>
              <w:ind w:firstLine="480"/>
            </w:pPr>
            <w:r>
              <w:rPr>
                <w:kern w:val="0"/>
                <w:lang w:bidi="ar"/>
              </w:rPr>
              <w:t>A、</w:t>
            </w:r>
            <w:r>
              <w:t>本项目只考虑几何发散衰减，公式按照：</w:t>
            </w:r>
          </w:p>
          <w:p>
            <w:pPr>
              <w:pStyle w:val="52"/>
              <w:tabs>
                <w:tab w:val="bar" w:pos="9540"/>
              </w:tabs>
              <w:snapToGrid w:val="0"/>
              <w:ind w:firstLine="0" w:firstLineChars="0"/>
              <w:jc w:val="center"/>
            </w:pPr>
            <w:r>
              <w:t>L</w:t>
            </w:r>
            <w:r>
              <w:rPr>
                <w:vertAlign w:val="subscript"/>
              </w:rPr>
              <w:t>A</w:t>
            </w:r>
            <w:r>
              <w:t>（r）=L</w:t>
            </w:r>
            <w:r>
              <w:rPr>
                <w:vertAlign w:val="subscript"/>
              </w:rPr>
              <w:t>A</w:t>
            </w:r>
            <w:r>
              <w:t>（r</w:t>
            </w:r>
            <w:r>
              <w:rPr>
                <w:vertAlign w:val="subscript"/>
              </w:rPr>
              <w:t>0</w:t>
            </w:r>
            <w:r>
              <w:t>）－A</w:t>
            </w:r>
            <w:r>
              <w:rPr>
                <w:vertAlign w:val="subscript"/>
              </w:rPr>
              <w:t>div</w:t>
            </w:r>
          </w:p>
          <w:p>
            <w:pPr>
              <w:pStyle w:val="16"/>
              <w:adjustRightInd w:val="0"/>
              <w:snapToGrid w:val="0"/>
              <w:spacing w:after="0" w:line="360" w:lineRule="auto"/>
              <w:ind w:left="0" w:leftChars="0" w:right="0" w:rightChars="0" w:firstLine="480" w:firstLineChars="200"/>
              <w:rPr>
                <w:sz w:val="24"/>
              </w:rPr>
            </w:pPr>
            <w:r>
              <w:rPr>
                <w:sz w:val="24"/>
              </w:rPr>
              <w:t>式中：L</w:t>
            </w:r>
            <w:r>
              <w:rPr>
                <w:sz w:val="24"/>
                <w:vertAlign w:val="subscript"/>
              </w:rPr>
              <w:t>A</w:t>
            </w:r>
            <w:r>
              <w:rPr>
                <w:sz w:val="24"/>
              </w:rPr>
              <w:t>（r）——距声源r处的A声级，dB（A）；</w:t>
            </w:r>
          </w:p>
          <w:p>
            <w:pPr>
              <w:pStyle w:val="16"/>
              <w:adjustRightInd w:val="0"/>
              <w:snapToGrid w:val="0"/>
              <w:spacing w:after="0" w:line="360" w:lineRule="auto"/>
              <w:ind w:left="0" w:leftChars="0" w:right="0" w:rightChars="0" w:firstLine="1200" w:firstLineChars="500"/>
              <w:rPr>
                <w:sz w:val="24"/>
              </w:rPr>
            </w:pPr>
            <w:r>
              <w:rPr>
                <w:sz w:val="24"/>
              </w:rPr>
              <w:t>L</w:t>
            </w:r>
            <w:r>
              <w:rPr>
                <w:sz w:val="24"/>
                <w:vertAlign w:val="subscript"/>
              </w:rPr>
              <w:t>A</w:t>
            </w:r>
            <w:r>
              <w:rPr>
                <w:sz w:val="24"/>
              </w:rPr>
              <w:t>（r</w:t>
            </w:r>
            <w:r>
              <w:rPr>
                <w:sz w:val="24"/>
                <w:vertAlign w:val="subscript"/>
              </w:rPr>
              <w:t>0</w:t>
            </w:r>
            <w:r>
              <w:rPr>
                <w:sz w:val="24"/>
              </w:rPr>
              <w:t>）——参考位置r</w:t>
            </w:r>
            <w:r>
              <w:rPr>
                <w:sz w:val="24"/>
                <w:vertAlign w:val="subscript"/>
              </w:rPr>
              <w:t>0</w:t>
            </w:r>
            <w:r>
              <w:rPr>
                <w:sz w:val="24"/>
              </w:rPr>
              <w:t>处的A声级，dB（A）；</w:t>
            </w:r>
          </w:p>
          <w:p>
            <w:pPr>
              <w:pStyle w:val="52"/>
              <w:tabs>
                <w:tab w:val="bar" w:pos="9540"/>
              </w:tabs>
              <w:snapToGrid w:val="0"/>
              <w:ind w:firstLine="1200" w:firstLineChars="500"/>
            </w:pPr>
            <w:r>
              <w:t>A</w:t>
            </w:r>
            <w:r>
              <w:rPr>
                <w:vertAlign w:val="subscript"/>
              </w:rPr>
              <w:t>div</w:t>
            </w:r>
            <w:r>
              <w:t>——几何发散引起的衰减，dB；</w:t>
            </w:r>
          </w:p>
          <w:p>
            <w:pPr>
              <w:pStyle w:val="52"/>
              <w:tabs>
                <w:tab w:val="bar" w:pos="9540"/>
              </w:tabs>
              <w:snapToGrid w:val="0"/>
              <w:ind w:firstLine="480" w:firstLineChars="200"/>
            </w:pPr>
            <w:r>
              <w:rPr>
                <w:kern w:val="0"/>
                <w:lang w:bidi="ar"/>
              </w:rPr>
              <w:t>B、</w:t>
            </w:r>
            <w:r>
              <w:t>声源的几何发散衰减公式：</w:t>
            </w:r>
          </w:p>
          <w:p>
            <w:pPr>
              <w:pStyle w:val="16"/>
              <w:spacing w:after="0" w:line="360" w:lineRule="auto"/>
              <w:ind w:left="0" w:leftChars="0" w:right="0" w:rightChars="0"/>
              <w:jc w:val="center"/>
              <w:rPr>
                <w:sz w:val="24"/>
              </w:rPr>
            </w:pPr>
            <w:r>
              <w:rPr>
                <w:sz w:val="24"/>
              </w:rPr>
              <w:t>A</w:t>
            </w:r>
            <w:r>
              <w:rPr>
                <w:sz w:val="24"/>
                <w:vertAlign w:val="subscript"/>
              </w:rPr>
              <w:t>div</w:t>
            </w:r>
            <w:r>
              <w:rPr>
                <w:sz w:val="24"/>
              </w:rPr>
              <w:t>=20lg（r/r</w:t>
            </w:r>
            <w:r>
              <w:rPr>
                <w:sz w:val="24"/>
                <w:vertAlign w:val="subscript"/>
              </w:rPr>
              <w:t>0</w:t>
            </w:r>
            <w:r>
              <w:rPr>
                <w:sz w:val="24"/>
              </w:rPr>
              <w:t>）</w:t>
            </w:r>
          </w:p>
          <w:p>
            <w:pPr>
              <w:pStyle w:val="16"/>
              <w:adjustRightInd w:val="0"/>
              <w:snapToGrid w:val="0"/>
              <w:spacing w:after="0" w:line="360" w:lineRule="auto"/>
              <w:ind w:left="0" w:leftChars="0" w:right="0" w:rightChars="0" w:firstLine="480" w:firstLineChars="200"/>
              <w:rPr>
                <w:sz w:val="24"/>
              </w:rPr>
            </w:pPr>
            <w:r>
              <w:rPr>
                <w:sz w:val="24"/>
              </w:rPr>
              <w:t>式中：A</w:t>
            </w:r>
            <w:r>
              <w:rPr>
                <w:sz w:val="24"/>
                <w:vertAlign w:val="subscript"/>
              </w:rPr>
              <w:t>div</w:t>
            </w:r>
            <w:r>
              <w:rPr>
                <w:sz w:val="24"/>
              </w:rPr>
              <w:t>——几何发散引起的衰减，dB；</w:t>
            </w:r>
          </w:p>
          <w:p>
            <w:pPr>
              <w:pStyle w:val="52"/>
              <w:tabs>
                <w:tab w:val="bar" w:pos="9540"/>
              </w:tabs>
              <w:snapToGrid w:val="0"/>
              <w:ind w:firstLine="1200" w:firstLineChars="500"/>
            </w:pPr>
            <w:r>
              <w:t>r——预测点距声源的距离；</w:t>
            </w:r>
          </w:p>
          <w:p>
            <w:pPr>
              <w:pStyle w:val="16"/>
              <w:adjustRightInd w:val="0"/>
              <w:snapToGrid w:val="0"/>
              <w:spacing w:after="0" w:line="360" w:lineRule="auto"/>
              <w:ind w:left="0" w:leftChars="0" w:right="0" w:rightChars="0" w:firstLine="1200" w:firstLineChars="500"/>
              <w:rPr>
                <w:sz w:val="24"/>
              </w:rPr>
            </w:pPr>
            <w:r>
              <w:rPr>
                <w:sz w:val="24"/>
              </w:rPr>
              <w:t>r</w:t>
            </w:r>
            <w:r>
              <w:rPr>
                <w:sz w:val="24"/>
                <w:vertAlign w:val="subscript"/>
              </w:rPr>
              <w:t>0</w:t>
            </w:r>
            <w:r>
              <w:rPr>
                <w:sz w:val="24"/>
              </w:rPr>
              <w:t>——参考位置距声源的距离；</w:t>
            </w:r>
          </w:p>
          <w:p>
            <w:pPr>
              <w:pStyle w:val="52"/>
              <w:tabs>
                <w:tab w:val="bar" w:pos="9540"/>
              </w:tabs>
              <w:snapToGrid w:val="0"/>
              <w:ind w:firstLine="480" w:firstLineChars="200"/>
            </w:pPr>
            <w:r>
              <w:rPr>
                <w:kern w:val="0"/>
                <w:lang w:bidi="ar"/>
              </w:rPr>
              <w:t>C、</w:t>
            </w:r>
            <w:r>
              <w:t>工业企业噪声计算公式：</w:t>
            </w:r>
          </w:p>
          <w:p>
            <w:pPr>
              <w:pStyle w:val="16"/>
              <w:adjustRightInd w:val="0"/>
              <w:snapToGrid w:val="0"/>
              <w:spacing w:after="0" w:line="360" w:lineRule="auto"/>
              <w:ind w:left="0" w:leftChars="0" w:right="0" w:rightChars="0"/>
              <w:jc w:val="center"/>
              <w:rPr>
                <w:sz w:val="24"/>
              </w:rPr>
            </w:pPr>
            <w:r>
              <w:rPr>
                <w:position w:val="-34"/>
                <w:sz w:val="24"/>
              </w:rPr>
              <w:object>
                <v:shape id="_x0000_i1031" o:spt="75" type="#_x0000_t75" style="height:40.5pt;width:203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p>
            <w:pPr>
              <w:pStyle w:val="16"/>
              <w:adjustRightInd w:val="0"/>
              <w:snapToGrid w:val="0"/>
              <w:spacing w:after="0" w:line="360" w:lineRule="auto"/>
              <w:ind w:left="0" w:leftChars="0" w:right="0" w:rightChars="0" w:firstLine="480" w:firstLineChars="200"/>
              <w:rPr>
                <w:sz w:val="24"/>
              </w:rPr>
            </w:pPr>
            <w:r>
              <w:rPr>
                <w:sz w:val="24"/>
              </w:rPr>
              <w:t>式中：L</w:t>
            </w:r>
            <w:r>
              <w:rPr>
                <w:sz w:val="24"/>
                <w:vertAlign w:val="subscript"/>
              </w:rPr>
              <w:t>eqg</w:t>
            </w:r>
            <w:r>
              <w:rPr>
                <w:sz w:val="24"/>
              </w:rPr>
              <w:t>——建设项目声源在预测点产生的噪声贡献值，dB；</w:t>
            </w:r>
          </w:p>
          <w:p>
            <w:pPr>
              <w:pStyle w:val="16"/>
              <w:adjustRightInd w:val="0"/>
              <w:snapToGrid w:val="0"/>
              <w:spacing w:after="0" w:line="360" w:lineRule="auto"/>
              <w:ind w:left="0" w:leftChars="0" w:right="0" w:rightChars="0" w:firstLine="1200" w:firstLineChars="500"/>
              <w:rPr>
                <w:sz w:val="24"/>
              </w:rPr>
            </w:pPr>
            <w:r>
              <w:rPr>
                <w:sz w:val="24"/>
              </w:rPr>
              <w:t>T——用于计算等效声级的时间，s；</w:t>
            </w:r>
          </w:p>
          <w:p>
            <w:pPr>
              <w:pStyle w:val="52"/>
              <w:tabs>
                <w:tab w:val="bar" w:pos="9540"/>
              </w:tabs>
              <w:snapToGrid w:val="0"/>
              <w:ind w:firstLine="1200" w:firstLineChars="500"/>
            </w:pPr>
            <w:r>
              <w:t>N——室外声源个数；</w:t>
            </w:r>
          </w:p>
          <w:p>
            <w:pPr>
              <w:pStyle w:val="52"/>
              <w:tabs>
                <w:tab w:val="bar" w:pos="9540"/>
              </w:tabs>
              <w:snapToGrid w:val="0"/>
              <w:ind w:firstLine="1200" w:firstLineChars="500"/>
            </w:pPr>
            <w:r>
              <w:t>t</w:t>
            </w:r>
            <w:r>
              <w:rPr>
                <w:vertAlign w:val="subscript"/>
              </w:rPr>
              <w:t>i</w:t>
            </w:r>
            <w:r>
              <w:t>——在T时间内i声源工作时间，s；</w:t>
            </w:r>
          </w:p>
          <w:p>
            <w:pPr>
              <w:pStyle w:val="52"/>
              <w:tabs>
                <w:tab w:val="bar" w:pos="9540"/>
              </w:tabs>
              <w:snapToGrid w:val="0"/>
              <w:ind w:firstLine="1200" w:firstLineChars="500"/>
            </w:pPr>
            <w:r>
              <w:t>M——等效室外声源个数；</w:t>
            </w:r>
          </w:p>
          <w:p>
            <w:pPr>
              <w:pStyle w:val="52"/>
              <w:tabs>
                <w:tab w:val="bar" w:pos="9540"/>
              </w:tabs>
              <w:snapToGrid w:val="0"/>
              <w:ind w:firstLine="1200" w:firstLineChars="500"/>
            </w:pPr>
            <w:r>
              <w:t>tj——在T时间内j声源工作时间，s。</w:t>
            </w:r>
          </w:p>
          <w:p>
            <w:pPr>
              <w:pStyle w:val="139"/>
              <w:ind w:firstLine="480"/>
            </w:pPr>
            <w:r>
              <w:rPr>
                <w:rFonts w:hint="eastAsia" w:ascii="宋体" w:hAnsi="宋体" w:cs="宋体"/>
              </w:rPr>
              <w:t>③</w:t>
            </w:r>
            <w:r>
              <w:t>预测结果</w:t>
            </w:r>
          </w:p>
          <w:p>
            <w:pPr>
              <w:pStyle w:val="139"/>
              <w:ind w:firstLine="480"/>
              <w:rPr>
                <w:kern w:val="0"/>
                <w:lang w:bidi="ar"/>
              </w:rPr>
            </w:pPr>
            <w:r>
              <w:t>根据工程分析，项目运营期噪声主要为生产设备运转噪声、配套设施设备运行噪声，各设备噪声源强在75~85dB（A）之间。企业厂界噪声达标排放分析计算采用环安科技在线模型OnlineV4软件进行预测，</w:t>
            </w:r>
            <w:r>
              <w:rPr>
                <w:kern w:val="0"/>
                <w:lang w:bidi="ar"/>
              </w:rPr>
              <w:t>项目厂界噪声预测结果如下图4-1所示；达标分析见表4-3。</w:t>
            </w:r>
          </w:p>
          <w:p>
            <w:pPr>
              <w:pStyle w:val="139"/>
              <w:ind w:firstLine="480"/>
              <w:rPr>
                <w:kern w:val="0"/>
                <w:lang w:bidi="ar"/>
              </w:rPr>
            </w:pPr>
          </w:p>
          <w:p>
            <w:pPr>
              <w:pStyle w:val="139"/>
              <w:ind w:firstLine="480"/>
              <w:rPr>
                <w:kern w:val="0"/>
                <w:lang w:bidi="ar"/>
              </w:rPr>
            </w:pPr>
          </w:p>
          <w:p>
            <w:pPr>
              <w:pStyle w:val="139"/>
              <w:ind w:firstLine="480"/>
              <w:rPr>
                <w:kern w:val="0"/>
                <w:lang w:bidi="ar"/>
              </w:rPr>
            </w:pPr>
          </w:p>
          <w:p>
            <w:pPr>
              <w:pStyle w:val="139"/>
              <w:ind w:firstLine="480"/>
              <w:rPr>
                <w:kern w:val="0"/>
                <w:lang w:bidi="ar"/>
              </w:rPr>
            </w:pPr>
          </w:p>
          <w:p>
            <w:pPr>
              <w:pStyle w:val="139"/>
              <w:ind w:firstLine="480"/>
              <w:rPr>
                <w:kern w:val="0"/>
                <w:lang w:bidi="ar"/>
              </w:rPr>
            </w:pPr>
          </w:p>
          <w:p>
            <w:pPr>
              <w:pStyle w:val="139"/>
              <w:ind w:firstLine="482"/>
              <w:rPr>
                <w:b/>
                <w:bCs/>
              </w:rPr>
            </w:pPr>
          </w:p>
          <w:p>
            <w:pPr>
              <w:pStyle w:val="139"/>
              <w:ind w:firstLine="482"/>
              <w:rPr>
                <w:b/>
                <w:bCs/>
              </w:rPr>
            </w:pPr>
            <w:r>
              <w:rPr>
                <w:b/>
                <w:bCs/>
              </w:rPr>
              <w:drawing>
                <wp:inline distT="0" distB="0" distL="0" distR="0">
                  <wp:extent cx="4627245" cy="4260850"/>
                  <wp:effectExtent l="0" t="0" r="190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629150" cy="4262557"/>
                          </a:xfrm>
                          <a:prstGeom prst="rect">
                            <a:avLst/>
                          </a:prstGeom>
                        </pic:spPr>
                      </pic:pic>
                    </a:graphicData>
                  </a:graphic>
                </wp:inline>
              </w:drawing>
            </w:r>
          </w:p>
          <w:p>
            <w:pPr>
              <w:pStyle w:val="168"/>
            </w:pPr>
            <w:r>
              <w:t>图4-1   本项目噪声预测结果等值线图</w:t>
            </w:r>
          </w:p>
          <w:p>
            <w:pPr>
              <w:pStyle w:val="168"/>
            </w:pPr>
            <w:r>
              <w:t>表4-3   厂界噪声预测结果与达标分析表</w:t>
            </w:r>
            <w:bookmarkStart w:id="18" w:name="PT_7"/>
          </w:p>
          <w:tbl>
            <w:tblPr>
              <w:tblStyle w:val="28"/>
              <w:tblW w:w="8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20"/>
              <w:gridCol w:w="820"/>
              <w:gridCol w:w="851"/>
              <w:gridCol w:w="934"/>
              <w:gridCol w:w="1451"/>
              <w:gridCol w:w="145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Merge w:val="restart"/>
                  <w:vAlign w:val="center"/>
                </w:tcPr>
                <w:p>
                  <w:pPr>
                    <w:pStyle w:val="167"/>
                  </w:pPr>
                  <w:r>
                    <w:t>预测方位</w:t>
                  </w:r>
                </w:p>
              </w:tc>
              <w:tc>
                <w:tcPr>
                  <w:tcW w:w="2491" w:type="dxa"/>
                  <w:gridSpan w:val="3"/>
                  <w:vAlign w:val="center"/>
                </w:tcPr>
                <w:p>
                  <w:pPr>
                    <w:pStyle w:val="167"/>
                  </w:pPr>
                  <w:r>
                    <w:t>空间相对位置/m</w:t>
                  </w:r>
                </w:p>
              </w:tc>
              <w:tc>
                <w:tcPr>
                  <w:tcW w:w="934" w:type="dxa"/>
                  <w:vMerge w:val="restart"/>
                  <w:vAlign w:val="center"/>
                </w:tcPr>
                <w:p>
                  <w:pPr>
                    <w:pStyle w:val="167"/>
                  </w:pPr>
                  <w:r>
                    <w:t>时段</w:t>
                  </w:r>
                </w:p>
              </w:tc>
              <w:tc>
                <w:tcPr>
                  <w:tcW w:w="1451" w:type="dxa"/>
                  <w:vMerge w:val="restart"/>
                  <w:vAlign w:val="center"/>
                </w:tcPr>
                <w:p>
                  <w:pPr>
                    <w:pStyle w:val="167"/>
                  </w:pPr>
                  <w:r>
                    <w:t>预测值（dB（A））</w:t>
                  </w:r>
                </w:p>
              </w:tc>
              <w:tc>
                <w:tcPr>
                  <w:tcW w:w="1453" w:type="dxa"/>
                  <w:vMerge w:val="restart"/>
                  <w:vAlign w:val="center"/>
                </w:tcPr>
                <w:p>
                  <w:pPr>
                    <w:pStyle w:val="167"/>
                  </w:pPr>
                  <w:r>
                    <w:t>标准限值（dB（A））</w:t>
                  </w:r>
                </w:p>
              </w:tc>
              <w:tc>
                <w:tcPr>
                  <w:tcW w:w="1103" w:type="dxa"/>
                  <w:vMerge w:val="restart"/>
                  <w:vAlign w:val="center"/>
                </w:tcPr>
                <w:p>
                  <w:pPr>
                    <w:pStyle w:val="167"/>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Merge w:val="continue"/>
                  <w:vAlign w:val="center"/>
                </w:tcPr>
                <w:p>
                  <w:pPr>
                    <w:pStyle w:val="167"/>
                  </w:pPr>
                </w:p>
              </w:tc>
              <w:tc>
                <w:tcPr>
                  <w:tcW w:w="820" w:type="dxa"/>
                  <w:vAlign w:val="center"/>
                </w:tcPr>
                <w:p>
                  <w:pPr>
                    <w:pStyle w:val="167"/>
                  </w:pPr>
                  <w:r>
                    <w:t>X</w:t>
                  </w:r>
                </w:p>
              </w:tc>
              <w:tc>
                <w:tcPr>
                  <w:tcW w:w="820" w:type="dxa"/>
                  <w:vAlign w:val="center"/>
                </w:tcPr>
                <w:p>
                  <w:pPr>
                    <w:pStyle w:val="167"/>
                  </w:pPr>
                  <w:r>
                    <w:t>Y</w:t>
                  </w:r>
                </w:p>
              </w:tc>
              <w:tc>
                <w:tcPr>
                  <w:tcW w:w="851" w:type="dxa"/>
                  <w:vAlign w:val="center"/>
                </w:tcPr>
                <w:p>
                  <w:pPr>
                    <w:pStyle w:val="167"/>
                  </w:pPr>
                  <w:r>
                    <w:t>Z</w:t>
                  </w:r>
                </w:p>
              </w:tc>
              <w:tc>
                <w:tcPr>
                  <w:tcW w:w="934" w:type="dxa"/>
                  <w:vMerge w:val="continue"/>
                  <w:vAlign w:val="center"/>
                </w:tcPr>
                <w:p>
                  <w:pPr>
                    <w:pStyle w:val="167"/>
                  </w:pPr>
                </w:p>
              </w:tc>
              <w:tc>
                <w:tcPr>
                  <w:tcW w:w="1451" w:type="dxa"/>
                  <w:vMerge w:val="continue"/>
                  <w:vAlign w:val="center"/>
                </w:tcPr>
                <w:p>
                  <w:pPr>
                    <w:pStyle w:val="167"/>
                  </w:pPr>
                </w:p>
              </w:tc>
              <w:tc>
                <w:tcPr>
                  <w:tcW w:w="1453" w:type="dxa"/>
                  <w:vMerge w:val="continue"/>
                  <w:vAlign w:val="center"/>
                </w:tcPr>
                <w:p>
                  <w:pPr>
                    <w:pStyle w:val="167"/>
                  </w:pPr>
                </w:p>
              </w:tc>
              <w:tc>
                <w:tcPr>
                  <w:tcW w:w="1103"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pStyle w:val="167"/>
                  </w:pPr>
                  <w:r>
                    <w:t>东侧</w:t>
                  </w:r>
                </w:p>
              </w:tc>
              <w:tc>
                <w:tcPr>
                  <w:tcW w:w="820" w:type="dxa"/>
                  <w:vAlign w:val="center"/>
                </w:tcPr>
                <w:p>
                  <w:pPr>
                    <w:pStyle w:val="167"/>
                  </w:pPr>
                  <w:r>
                    <w:t>19.36</w:t>
                  </w:r>
                </w:p>
              </w:tc>
              <w:tc>
                <w:tcPr>
                  <w:tcW w:w="820" w:type="dxa"/>
                  <w:vAlign w:val="center"/>
                </w:tcPr>
                <w:p>
                  <w:pPr>
                    <w:pStyle w:val="167"/>
                  </w:pPr>
                  <w:r>
                    <w:t>19.36</w:t>
                  </w:r>
                </w:p>
              </w:tc>
              <w:tc>
                <w:tcPr>
                  <w:tcW w:w="851" w:type="dxa"/>
                  <w:vAlign w:val="center"/>
                </w:tcPr>
                <w:p>
                  <w:pPr>
                    <w:pStyle w:val="167"/>
                  </w:pPr>
                  <w:r>
                    <w:t>1.2</w:t>
                  </w:r>
                </w:p>
              </w:tc>
              <w:tc>
                <w:tcPr>
                  <w:tcW w:w="934" w:type="dxa"/>
                  <w:vAlign w:val="center"/>
                </w:tcPr>
                <w:p>
                  <w:pPr>
                    <w:pStyle w:val="167"/>
                  </w:pPr>
                  <w:r>
                    <w:t>昼间</w:t>
                  </w:r>
                </w:p>
              </w:tc>
              <w:tc>
                <w:tcPr>
                  <w:tcW w:w="1451" w:type="dxa"/>
                  <w:vAlign w:val="center"/>
                </w:tcPr>
                <w:p>
                  <w:pPr>
                    <w:pStyle w:val="167"/>
                  </w:pPr>
                  <w:r>
                    <w:t>55.1</w:t>
                  </w:r>
                </w:p>
              </w:tc>
              <w:tc>
                <w:tcPr>
                  <w:tcW w:w="1453" w:type="dxa"/>
                  <w:vAlign w:val="center"/>
                </w:tcPr>
                <w:p>
                  <w:pPr>
                    <w:pStyle w:val="167"/>
                  </w:pPr>
                  <w:r>
                    <w:t>60</w:t>
                  </w:r>
                </w:p>
              </w:tc>
              <w:tc>
                <w:tcPr>
                  <w:tcW w:w="1103"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pStyle w:val="167"/>
                  </w:pPr>
                  <w:r>
                    <w:t>南侧</w:t>
                  </w:r>
                </w:p>
              </w:tc>
              <w:tc>
                <w:tcPr>
                  <w:tcW w:w="820" w:type="dxa"/>
                  <w:vAlign w:val="center"/>
                </w:tcPr>
                <w:p>
                  <w:pPr>
                    <w:pStyle w:val="167"/>
                  </w:pPr>
                  <w:r>
                    <w:t>0</w:t>
                  </w:r>
                </w:p>
              </w:tc>
              <w:tc>
                <w:tcPr>
                  <w:tcW w:w="820" w:type="dxa"/>
                  <w:vAlign w:val="center"/>
                </w:tcPr>
                <w:p>
                  <w:pPr>
                    <w:pStyle w:val="167"/>
                  </w:pPr>
                  <w:r>
                    <w:t>0</w:t>
                  </w:r>
                </w:p>
              </w:tc>
              <w:tc>
                <w:tcPr>
                  <w:tcW w:w="851" w:type="dxa"/>
                  <w:vAlign w:val="center"/>
                </w:tcPr>
                <w:p>
                  <w:pPr>
                    <w:pStyle w:val="167"/>
                  </w:pPr>
                  <w:r>
                    <w:t>1.2</w:t>
                  </w:r>
                </w:p>
              </w:tc>
              <w:tc>
                <w:tcPr>
                  <w:tcW w:w="934" w:type="dxa"/>
                  <w:vAlign w:val="center"/>
                </w:tcPr>
                <w:p>
                  <w:pPr>
                    <w:pStyle w:val="167"/>
                  </w:pPr>
                  <w:r>
                    <w:t>昼间</w:t>
                  </w:r>
                </w:p>
              </w:tc>
              <w:tc>
                <w:tcPr>
                  <w:tcW w:w="1451" w:type="dxa"/>
                  <w:vAlign w:val="center"/>
                </w:tcPr>
                <w:p>
                  <w:pPr>
                    <w:pStyle w:val="167"/>
                  </w:pPr>
                  <w:r>
                    <w:t>51.7</w:t>
                  </w:r>
                </w:p>
              </w:tc>
              <w:tc>
                <w:tcPr>
                  <w:tcW w:w="1453" w:type="dxa"/>
                </w:tcPr>
                <w:p>
                  <w:pPr>
                    <w:pStyle w:val="167"/>
                  </w:pPr>
                  <w:r>
                    <w:t>60</w:t>
                  </w:r>
                </w:p>
              </w:tc>
              <w:tc>
                <w:tcPr>
                  <w:tcW w:w="1103"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pStyle w:val="167"/>
                  </w:pPr>
                  <w:r>
                    <w:t>西侧</w:t>
                  </w:r>
                </w:p>
              </w:tc>
              <w:tc>
                <w:tcPr>
                  <w:tcW w:w="820" w:type="dxa"/>
                  <w:vAlign w:val="center"/>
                </w:tcPr>
                <w:p>
                  <w:pPr>
                    <w:pStyle w:val="167"/>
                  </w:pPr>
                  <w:r>
                    <w:t>-7.05</w:t>
                  </w:r>
                </w:p>
              </w:tc>
              <w:tc>
                <w:tcPr>
                  <w:tcW w:w="820" w:type="dxa"/>
                  <w:vAlign w:val="center"/>
                </w:tcPr>
                <w:p>
                  <w:pPr>
                    <w:pStyle w:val="167"/>
                  </w:pPr>
                  <w:r>
                    <w:t>10.76</w:t>
                  </w:r>
                </w:p>
              </w:tc>
              <w:tc>
                <w:tcPr>
                  <w:tcW w:w="851" w:type="dxa"/>
                  <w:vAlign w:val="center"/>
                </w:tcPr>
                <w:p>
                  <w:pPr>
                    <w:pStyle w:val="167"/>
                  </w:pPr>
                  <w:r>
                    <w:t>1.2</w:t>
                  </w:r>
                </w:p>
              </w:tc>
              <w:tc>
                <w:tcPr>
                  <w:tcW w:w="934" w:type="dxa"/>
                  <w:vAlign w:val="center"/>
                </w:tcPr>
                <w:p>
                  <w:pPr>
                    <w:pStyle w:val="167"/>
                  </w:pPr>
                  <w:r>
                    <w:t>昼间</w:t>
                  </w:r>
                </w:p>
              </w:tc>
              <w:tc>
                <w:tcPr>
                  <w:tcW w:w="1451" w:type="dxa"/>
                  <w:vAlign w:val="center"/>
                </w:tcPr>
                <w:p>
                  <w:pPr>
                    <w:pStyle w:val="167"/>
                  </w:pPr>
                  <w:r>
                    <w:t>53.2</w:t>
                  </w:r>
                </w:p>
              </w:tc>
              <w:tc>
                <w:tcPr>
                  <w:tcW w:w="1453" w:type="dxa"/>
                </w:tcPr>
                <w:p>
                  <w:pPr>
                    <w:pStyle w:val="167"/>
                  </w:pPr>
                  <w:r>
                    <w:t>60</w:t>
                  </w:r>
                </w:p>
              </w:tc>
              <w:tc>
                <w:tcPr>
                  <w:tcW w:w="1103"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pStyle w:val="167"/>
                  </w:pPr>
                  <w:r>
                    <w:t>北侧</w:t>
                  </w:r>
                </w:p>
              </w:tc>
              <w:tc>
                <w:tcPr>
                  <w:tcW w:w="820" w:type="dxa"/>
                  <w:vAlign w:val="center"/>
                </w:tcPr>
                <w:p>
                  <w:pPr>
                    <w:pStyle w:val="167"/>
                  </w:pPr>
                  <w:r>
                    <w:t>13.99</w:t>
                  </w:r>
                </w:p>
              </w:tc>
              <w:tc>
                <w:tcPr>
                  <w:tcW w:w="820" w:type="dxa"/>
                  <w:vAlign w:val="center"/>
                </w:tcPr>
                <w:p>
                  <w:pPr>
                    <w:pStyle w:val="167"/>
                  </w:pPr>
                  <w:r>
                    <w:t>40.3</w:t>
                  </w:r>
                </w:p>
              </w:tc>
              <w:tc>
                <w:tcPr>
                  <w:tcW w:w="851" w:type="dxa"/>
                  <w:vAlign w:val="center"/>
                </w:tcPr>
                <w:p>
                  <w:pPr>
                    <w:pStyle w:val="167"/>
                  </w:pPr>
                  <w:r>
                    <w:t>1.2</w:t>
                  </w:r>
                </w:p>
              </w:tc>
              <w:tc>
                <w:tcPr>
                  <w:tcW w:w="934" w:type="dxa"/>
                  <w:vAlign w:val="center"/>
                </w:tcPr>
                <w:p>
                  <w:pPr>
                    <w:pStyle w:val="167"/>
                  </w:pPr>
                  <w:r>
                    <w:t>昼间</w:t>
                  </w:r>
                </w:p>
              </w:tc>
              <w:tc>
                <w:tcPr>
                  <w:tcW w:w="1451" w:type="dxa"/>
                  <w:vAlign w:val="center"/>
                </w:tcPr>
                <w:p>
                  <w:pPr>
                    <w:pStyle w:val="167"/>
                  </w:pPr>
                  <w:r>
                    <w:t>54.3</w:t>
                  </w:r>
                </w:p>
              </w:tc>
              <w:tc>
                <w:tcPr>
                  <w:tcW w:w="1453" w:type="dxa"/>
                </w:tcPr>
                <w:p>
                  <w:pPr>
                    <w:pStyle w:val="167"/>
                  </w:pPr>
                  <w:r>
                    <w:t>60</w:t>
                  </w:r>
                </w:p>
              </w:tc>
              <w:tc>
                <w:tcPr>
                  <w:tcW w:w="1103" w:type="dxa"/>
                  <w:vAlign w:val="center"/>
                </w:tcPr>
                <w:p>
                  <w:pPr>
                    <w:pStyle w:val="16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7" w:type="dxa"/>
                  <w:gridSpan w:val="8"/>
                  <w:vAlign w:val="center"/>
                </w:tcPr>
                <w:p>
                  <w:pPr>
                    <w:pStyle w:val="167"/>
                  </w:pPr>
                  <w:r>
                    <w:t>注：本项目夜间不生产</w:t>
                  </w:r>
                </w:p>
              </w:tc>
            </w:tr>
            <w:bookmarkEnd w:id="18"/>
          </w:tbl>
          <w:p>
            <w:pPr>
              <w:pStyle w:val="139"/>
              <w:ind w:firstLine="480"/>
            </w:pPr>
            <w:r>
              <w:t>项目夜间不运营，由上表预测结果一览表可以得知，项目东侧、西侧、南侧和北侧厂界处昼间噪声能满足《工业企业厂界环境噪声排放标准》（GB12348-2008）2类标准限值；</w:t>
            </w:r>
          </w:p>
          <w:p>
            <w:pPr>
              <w:pStyle w:val="139"/>
              <w:ind w:firstLine="480"/>
            </w:pPr>
            <w:r>
              <w:t>根据现场勘查，项目所在区域地形，北侧为山体、植被茂密，项目厂界周边50m范围内无声环境保护目标，运营期厂界噪声对外环境的影响在可接受范围内。</w:t>
            </w:r>
          </w:p>
          <w:p>
            <w:pPr>
              <w:pStyle w:val="164"/>
              <w:rPr>
                <w:szCs w:val="28"/>
              </w:rPr>
            </w:pPr>
            <w:r>
              <w:t>3、控制措施</w:t>
            </w:r>
          </w:p>
          <w:p>
            <w:pPr>
              <w:pStyle w:val="139"/>
              <w:ind w:firstLine="480"/>
              <w:rPr>
                <w:kern w:val="0"/>
              </w:rPr>
            </w:pPr>
            <w:r>
              <w:t>为减小运营期噪声对周边环境的影响，环评提出如下措施：</w:t>
            </w:r>
          </w:p>
          <w:p>
            <w:pPr>
              <w:pStyle w:val="139"/>
              <w:ind w:firstLine="480"/>
            </w:pPr>
            <w:r>
              <w:rPr>
                <w:rFonts w:hint="eastAsia" w:ascii="宋体" w:hAnsi="宋体" w:cs="宋体"/>
              </w:rPr>
              <w:t>①</w:t>
            </w:r>
            <w:r>
              <w:t>选用低噪声生产设备；</w:t>
            </w:r>
          </w:p>
          <w:p>
            <w:pPr>
              <w:pStyle w:val="139"/>
              <w:ind w:firstLine="480"/>
            </w:pPr>
            <w:r>
              <w:rPr>
                <w:rFonts w:hint="eastAsia" w:ascii="宋体" w:hAnsi="宋体" w:cs="宋体"/>
              </w:rPr>
              <w:t>②</w:t>
            </w:r>
            <w:r>
              <w:t>运营过程中应加强主要产噪设备的保养、检修，保证设备处于良好的运转状态，减少机械振动和摩擦产生的噪声，防止共振。</w:t>
            </w:r>
          </w:p>
          <w:p>
            <w:pPr>
              <w:pStyle w:val="139"/>
              <w:ind w:firstLine="480"/>
              <w:rPr>
                <w:b/>
                <w:bCs/>
              </w:rPr>
            </w:pPr>
            <w:r>
              <w:rPr>
                <w:rFonts w:hint="eastAsia" w:ascii="宋体" w:hAnsi="宋体" w:cs="宋体"/>
              </w:rPr>
              <w:t>③</w:t>
            </w:r>
            <w:r>
              <w:t>风机设减震垫进行基础减振，风管设软连接，对设备进行有效地减震、隔声处理。</w:t>
            </w:r>
          </w:p>
          <w:p>
            <w:pPr>
              <w:pStyle w:val="139"/>
              <w:ind w:firstLine="480"/>
            </w:pPr>
            <w:r>
              <w:rPr>
                <w:rFonts w:hint="eastAsia" w:ascii="宋体" w:hAnsi="宋体" w:cs="宋体"/>
              </w:rPr>
              <w:t>④</w:t>
            </w:r>
            <w:r>
              <w:t>对操作员工影响加强个人防护意识，工作人员应佩戴防噪用品，如防声耳塞或耳罩等。</w:t>
            </w:r>
          </w:p>
          <w:p>
            <w:pPr>
              <w:pStyle w:val="139"/>
              <w:ind w:firstLine="480"/>
            </w:pPr>
            <w:r>
              <w:rPr>
                <w:rFonts w:hint="eastAsia" w:ascii="宋体" w:hAnsi="宋体" w:cs="宋体"/>
              </w:rPr>
              <w:t>⑤</w:t>
            </w:r>
            <w:r>
              <w:t>加强管理培训，确保工人文明操作，装卸货物时轻拿轻放，避免因野蛮操作产生的突发性噪声。</w:t>
            </w:r>
          </w:p>
          <w:p>
            <w:pPr>
              <w:pStyle w:val="164"/>
              <w:rPr>
                <w:szCs w:val="28"/>
              </w:rPr>
            </w:pPr>
            <w:r>
              <w:t>4、监测计划</w:t>
            </w:r>
          </w:p>
          <w:p>
            <w:pPr>
              <w:pStyle w:val="139"/>
              <w:ind w:firstLine="480"/>
            </w:pPr>
            <w:r>
              <w:t>根据《排污单位自行监测技术指南》（HJI819-2017）要求，并结合项目实际生产情况，监测要求详见下表。</w:t>
            </w:r>
          </w:p>
          <w:p>
            <w:pPr>
              <w:pStyle w:val="168"/>
              <w:rPr>
                <w:sz w:val="24"/>
              </w:rPr>
            </w:pPr>
            <w:r>
              <w:t>表4-4   噪声监测计划一览表</w:t>
            </w:r>
          </w:p>
          <w:tbl>
            <w:tblPr>
              <w:tblStyle w:val="2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475"/>
              <w:gridCol w:w="207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5" w:type="dxa"/>
                  <w:vAlign w:val="center"/>
                </w:tcPr>
                <w:p>
                  <w:pPr>
                    <w:pStyle w:val="167"/>
                  </w:pPr>
                  <w:r>
                    <w:t>监测点位</w:t>
                  </w:r>
                </w:p>
              </w:tc>
              <w:tc>
                <w:tcPr>
                  <w:tcW w:w="1475" w:type="dxa"/>
                  <w:vAlign w:val="center"/>
                </w:tcPr>
                <w:p>
                  <w:pPr>
                    <w:pStyle w:val="167"/>
                  </w:pPr>
                  <w:r>
                    <w:t>监测项目</w:t>
                  </w:r>
                </w:p>
              </w:tc>
              <w:tc>
                <w:tcPr>
                  <w:tcW w:w="2073" w:type="dxa"/>
                  <w:vAlign w:val="center"/>
                </w:tcPr>
                <w:p>
                  <w:pPr>
                    <w:pStyle w:val="167"/>
                  </w:pPr>
                  <w:r>
                    <w:t>时间、频次</w:t>
                  </w:r>
                </w:p>
              </w:tc>
              <w:tc>
                <w:tcPr>
                  <w:tcW w:w="3147" w:type="dxa"/>
                  <w:vAlign w:val="center"/>
                </w:tcPr>
                <w:p>
                  <w:pPr>
                    <w:pStyle w:val="167"/>
                  </w:pPr>
                  <w: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5" w:type="dxa"/>
                  <w:vAlign w:val="center"/>
                </w:tcPr>
                <w:p>
                  <w:pPr>
                    <w:pStyle w:val="167"/>
                  </w:pPr>
                  <w:r>
                    <w:t>项目区厂界东、西、南、北界外1m处布点监测</w:t>
                  </w:r>
                </w:p>
              </w:tc>
              <w:tc>
                <w:tcPr>
                  <w:tcW w:w="1475" w:type="dxa"/>
                  <w:vAlign w:val="center"/>
                </w:tcPr>
                <w:p>
                  <w:pPr>
                    <w:pStyle w:val="167"/>
                  </w:pPr>
                  <w:r>
                    <w:t>等效声级Leq（dB（A））</w:t>
                  </w:r>
                </w:p>
              </w:tc>
              <w:tc>
                <w:tcPr>
                  <w:tcW w:w="2073" w:type="dxa"/>
                  <w:vAlign w:val="center"/>
                </w:tcPr>
                <w:p>
                  <w:pPr>
                    <w:pStyle w:val="167"/>
                  </w:pPr>
                  <w:r>
                    <w:t>1次/季度（项目仅第二、第四季度运行，故每年监测2次）</w:t>
                  </w:r>
                </w:p>
              </w:tc>
              <w:tc>
                <w:tcPr>
                  <w:tcW w:w="3147" w:type="dxa"/>
                  <w:vAlign w:val="center"/>
                </w:tcPr>
                <w:p>
                  <w:pPr>
                    <w:pStyle w:val="167"/>
                    <w:rPr>
                      <w:spacing w:val="-10"/>
                    </w:rPr>
                  </w:pPr>
                  <w:r>
                    <w:rPr>
                      <w:lang w:val="zh-CN"/>
                    </w:rPr>
                    <w:t>《工业企业厂界环境噪声排放标准》（GB12348-2008）2类标准</w:t>
                  </w:r>
                </w:p>
              </w:tc>
            </w:tr>
          </w:tbl>
          <w:p>
            <w:pPr>
              <w:pStyle w:val="111"/>
            </w:pPr>
            <w:r>
              <w:t>4.2.4固废环境影响和保护措施</w:t>
            </w:r>
          </w:p>
          <w:p>
            <w:pPr>
              <w:pStyle w:val="139"/>
              <w:ind w:firstLine="480"/>
            </w:pPr>
            <w:r>
              <w:t>本项目运营期固体废物主要为一般工业固废（除尘系统收集粉尘、滴漏沥青及拌合残渣）、危险废物（废导热油、废润滑油、废活性炭、废含油抹布、劳保用品）及职工生活垃圾等。</w:t>
            </w:r>
          </w:p>
          <w:p>
            <w:pPr>
              <w:pStyle w:val="164"/>
            </w:pPr>
            <w:r>
              <w:t>1、一般工业固体废物</w:t>
            </w:r>
          </w:p>
          <w:p>
            <w:pPr>
              <w:pStyle w:val="139"/>
              <w:ind w:firstLine="480"/>
            </w:pPr>
            <w:r>
              <w:t>（1）除尘系统收集粉尘</w:t>
            </w:r>
          </w:p>
          <w:p>
            <w:pPr>
              <w:pStyle w:val="139"/>
              <w:ind w:firstLine="480"/>
            </w:pPr>
            <w:r>
              <w:t>运营期炒料工序废气（含柴油燃烧废气和骨料粉尘）排入两级除尘系统（重力除尘和大气反吹式布袋除尘器相结合）处置。经计算，除尘系统收集的粉尘为0.3747t/a。根据《一般固体废物分类与代码》（GB/T39198-2020），除尘器收集的粉尘类别代码为900-999-66。</w:t>
            </w:r>
          </w:p>
          <w:p>
            <w:pPr>
              <w:pStyle w:val="139"/>
              <w:ind w:firstLine="480"/>
            </w:pPr>
            <w:r>
              <w:t>（2）滴漏沥青、拌合残渣</w:t>
            </w:r>
          </w:p>
          <w:p>
            <w:pPr>
              <w:pStyle w:val="139"/>
              <w:ind w:firstLine="480"/>
            </w:pPr>
            <w:r>
              <w:t>当散装沥青运输车将沥青输入沥青储罐内，沥青泵将沥青从储罐泵入拌合系统时，以上沥青输送过程中由于接口的密闭性问题会滴漏少量沥青，沥青的滴漏量和项目使用设备及生产管理水平有关。沥青混凝土在装卸料结束后，搅拌缸内以及搅拌楼下方会残留少量沥青混凝土。根据项目生产经验，滴漏沥青和拌合残渣产生量约为0.2t/a。根据《一般固体废物分类与代码》（GB/T39198-2020），滴漏沥青和拌合残渣类别代码为300-001-46。</w:t>
            </w:r>
          </w:p>
          <w:p>
            <w:pPr>
              <w:pStyle w:val="168"/>
            </w:pPr>
            <w:r>
              <w:t>表4-5   建设项目一般工业固体废物基本情况汇总表</w:t>
            </w:r>
          </w:p>
          <w:tbl>
            <w:tblPr>
              <w:tblStyle w:val="28"/>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408"/>
              <w:gridCol w:w="1491"/>
              <w:gridCol w:w="1085"/>
              <w:gridCol w:w="1211"/>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1404" w:type="dxa"/>
                  <w:vAlign w:val="center"/>
                </w:tcPr>
                <w:p>
                  <w:pPr>
                    <w:pStyle w:val="167"/>
                    <w:rPr>
                      <w:lang w:bidi="en-US"/>
                    </w:rPr>
                  </w:pPr>
                  <w:r>
                    <w:rPr>
                      <w:lang w:bidi="en-US"/>
                    </w:rPr>
                    <w:t>产生环节</w:t>
                  </w:r>
                </w:p>
              </w:tc>
              <w:tc>
                <w:tcPr>
                  <w:tcW w:w="1408" w:type="dxa"/>
                  <w:shd w:val="clear" w:color="auto" w:fill="auto"/>
                  <w:vAlign w:val="center"/>
                </w:tcPr>
                <w:p>
                  <w:pPr>
                    <w:pStyle w:val="167"/>
                    <w:rPr>
                      <w:lang w:bidi="en-US"/>
                    </w:rPr>
                  </w:pPr>
                  <w:r>
                    <w:rPr>
                      <w:lang w:bidi="en-US"/>
                    </w:rPr>
                    <w:t>名称</w:t>
                  </w:r>
                </w:p>
              </w:tc>
              <w:tc>
                <w:tcPr>
                  <w:tcW w:w="1491" w:type="dxa"/>
                  <w:shd w:val="clear" w:color="auto" w:fill="auto"/>
                  <w:vAlign w:val="center"/>
                </w:tcPr>
                <w:p>
                  <w:pPr>
                    <w:pStyle w:val="167"/>
                    <w:rPr>
                      <w:lang w:bidi="en-US"/>
                    </w:rPr>
                  </w:pPr>
                  <w:r>
                    <w:rPr>
                      <w:lang w:bidi="en-US"/>
                    </w:rPr>
                    <w:t>性质判断</w:t>
                  </w:r>
                </w:p>
              </w:tc>
              <w:tc>
                <w:tcPr>
                  <w:tcW w:w="1085" w:type="dxa"/>
                  <w:vAlign w:val="center"/>
                </w:tcPr>
                <w:p>
                  <w:pPr>
                    <w:pStyle w:val="167"/>
                    <w:rPr>
                      <w:lang w:bidi="en-US"/>
                    </w:rPr>
                  </w:pPr>
                  <w:r>
                    <w:rPr>
                      <w:lang w:bidi="en-US"/>
                    </w:rPr>
                    <w:t>物理性质</w:t>
                  </w:r>
                </w:p>
              </w:tc>
              <w:tc>
                <w:tcPr>
                  <w:tcW w:w="1211" w:type="dxa"/>
                  <w:shd w:val="clear" w:color="auto" w:fill="auto"/>
                  <w:vAlign w:val="center"/>
                </w:tcPr>
                <w:p>
                  <w:pPr>
                    <w:pStyle w:val="167"/>
                    <w:rPr>
                      <w:lang w:bidi="en-US"/>
                    </w:rPr>
                  </w:pPr>
                  <w:r>
                    <w:rPr>
                      <w:lang w:bidi="en-US"/>
                    </w:rPr>
                    <w:t>产生量</w:t>
                  </w:r>
                </w:p>
                <w:p>
                  <w:pPr>
                    <w:pStyle w:val="167"/>
                    <w:rPr>
                      <w:lang w:bidi="en-US"/>
                    </w:rPr>
                  </w:pPr>
                  <w:r>
                    <w:rPr>
                      <w:lang w:bidi="en-US"/>
                    </w:rPr>
                    <w:t>t/a</w:t>
                  </w:r>
                </w:p>
              </w:tc>
              <w:tc>
                <w:tcPr>
                  <w:tcW w:w="1861" w:type="dxa"/>
                  <w:vAlign w:val="center"/>
                </w:tcPr>
                <w:p>
                  <w:pPr>
                    <w:pStyle w:val="167"/>
                    <w:rPr>
                      <w:lang w:bidi="en-US"/>
                    </w:rPr>
                  </w:pPr>
                  <w:r>
                    <w:rPr>
                      <w:lang w:bidi="en-US"/>
                    </w:rPr>
                    <w:t>处置措施/去向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vAlign w:val="center"/>
                </w:tcPr>
                <w:p>
                  <w:pPr>
                    <w:pStyle w:val="167"/>
                  </w:pPr>
                  <w:r>
                    <w:t>除尘系统</w:t>
                  </w:r>
                </w:p>
              </w:tc>
              <w:tc>
                <w:tcPr>
                  <w:tcW w:w="1408" w:type="dxa"/>
                  <w:shd w:val="clear" w:color="auto" w:fill="auto"/>
                  <w:vAlign w:val="center"/>
                </w:tcPr>
                <w:p>
                  <w:pPr>
                    <w:pStyle w:val="167"/>
                  </w:pPr>
                  <w:r>
                    <w:t>除尘系统收集粉尘</w:t>
                  </w:r>
                </w:p>
              </w:tc>
              <w:tc>
                <w:tcPr>
                  <w:tcW w:w="1491" w:type="dxa"/>
                  <w:shd w:val="clear" w:color="auto" w:fill="auto"/>
                  <w:vAlign w:val="center"/>
                </w:tcPr>
                <w:p>
                  <w:pPr>
                    <w:pStyle w:val="167"/>
                    <w:rPr>
                      <w:lang w:bidi="en-US"/>
                    </w:rPr>
                  </w:pPr>
                  <w:r>
                    <w:rPr>
                      <w:lang w:bidi="en-US"/>
                    </w:rPr>
                    <w:t>一般固体废物</w:t>
                  </w:r>
                </w:p>
              </w:tc>
              <w:tc>
                <w:tcPr>
                  <w:tcW w:w="1085" w:type="dxa"/>
                  <w:vAlign w:val="center"/>
                </w:tcPr>
                <w:p>
                  <w:pPr>
                    <w:pStyle w:val="167"/>
                    <w:rPr>
                      <w:lang w:bidi="en-US"/>
                    </w:rPr>
                  </w:pPr>
                  <w:r>
                    <w:rPr>
                      <w:lang w:bidi="en-US"/>
                    </w:rPr>
                    <w:t>固态</w:t>
                  </w:r>
                </w:p>
              </w:tc>
              <w:tc>
                <w:tcPr>
                  <w:tcW w:w="1211" w:type="dxa"/>
                  <w:shd w:val="clear" w:color="auto" w:fill="auto"/>
                  <w:vAlign w:val="center"/>
                </w:tcPr>
                <w:p>
                  <w:pPr>
                    <w:pStyle w:val="167"/>
                    <w:rPr>
                      <w:lang w:bidi="en-US"/>
                    </w:rPr>
                  </w:pPr>
                  <w:r>
                    <w:rPr>
                      <w:lang w:bidi="en-US"/>
                    </w:rPr>
                    <w:t>0.3747</w:t>
                  </w:r>
                </w:p>
              </w:tc>
              <w:tc>
                <w:tcPr>
                  <w:tcW w:w="1861" w:type="dxa"/>
                  <w:vAlign w:val="center"/>
                </w:tcPr>
                <w:p>
                  <w:pPr>
                    <w:pStyle w:val="167"/>
                    <w:rPr>
                      <w:lang w:bidi="en-US"/>
                    </w:rPr>
                  </w:pPr>
                  <w:r>
                    <w:rPr>
                      <w:lang w:bidi="en-US"/>
                    </w:rPr>
                    <w:t>收集后作为粉料回用于生产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vAlign w:val="center"/>
                </w:tcPr>
                <w:p>
                  <w:pPr>
                    <w:pStyle w:val="167"/>
                  </w:pPr>
                  <w:r>
                    <w:t>沥青混凝土拌合</w:t>
                  </w:r>
                </w:p>
              </w:tc>
              <w:tc>
                <w:tcPr>
                  <w:tcW w:w="1408" w:type="dxa"/>
                  <w:shd w:val="clear" w:color="auto" w:fill="auto"/>
                  <w:vAlign w:val="center"/>
                </w:tcPr>
                <w:p>
                  <w:pPr>
                    <w:pStyle w:val="167"/>
                  </w:pPr>
                  <w:r>
                    <w:t>滴漏沥青、拌合残渣</w:t>
                  </w:r>
                </w:p>
              </w:tc>
              <w:tc>
                <w:tcPr>
                  <w:tcW w:w="1491" w:type="dxa"/>
                  <w:shd w:val="clear" w:color="auto" w:fill="auto"/>
                  <w:vAlign w:val="center"/>
                </w:tcPr>
                <w:p>
                  <w:pPr>
                    <w:pStyle w:val="167"/>
                    <w:rPr>
                      <w:lang w:bidi="en-US"/>
                    </w:rPr>
                  </w:pPr>
                  <w:r>
                    <w:t>一般工业固废</w:t>
                  </w:r>
                </w:p>
              </w:tc>
              <w:tc>
                <w:tcPr>
                  <w:tcW w:w="1085" w:type="dxa"/>
                  <w:vAlign w:val="center"/>
                </w:tcPr>
                <w:p>
                  <w:pPr>
                    <w:pStyle w:val="167"/>
                  </w:pPr>
                  <w:r>
                    <w:rPr>
                      <w:lang w:bidi="en-US"/>
                    </w:rPr>
                    <w:t>固态</w:t>
                  </w:r>
                </w:p>
              </w:tc>
              <w:tc>
                <w:tcPr>
                  <w:tcW w:w="1211" w:type="dxa"/>
                  <w:shd w:val="clear" w:color="auto" w:fill="auto"/>
                  <w:vAlign w:val="center"/>
                </w:tcPr>
                <w:p>
                  <w:pPr>
                    <w:pStyle w:val="167"/>
                    <w:rPr>
                      <w:lang w:bidi="en-US"/>
                    </w:rPr>
                  </w:pPr>
                  <w:r>
                    <w:t>0.2</w:t>
                  </w:r>
                </w:p>
              </w:tc>
              <w:tc>
                <w:tcPr>
                  <w:tcW w:w="1861" w:type="dxa"/>
                  <w:vAlign w:val="center"/>
                </w:tcPr>
                <w:p>
                  <w:pPr>
                    <w:pStyle w:val="167"/>
                  </w:pPr>
                  <w:r>
                    <w:t>收集后清运至云龙公路分局废料堆弃场堆存处置</w:t>
                  </w:r>
                </w:p>
              </w:tc>
            </w:tr>
          </w:tbl>
          <w:p>
            <w:pPr>
              <w:pStyle w:val="164"/>
            </w:pPr>
            <w:r>
              <w:t>2、危险废物</w:t>
            </w:r>
          </w:p>
          <w:p>
            <w:pPr>
              <w:pStyle w:val="139"/>
              <w:ind w:firstLine="480"/>
            </w:pPr>
            <w:r>
              <w:t>（1）废导热油</w:t>
            </w:r>
          </w:p>
          <w:p>
            <w:pPr>
              <w:pStyle w:val="139"/>
              <w:ind w:firstLine="480"/>
            </w:pPr>
            <w:r>
              <w:t>本项目营运期采用电导热油锅炉加热导热油对沥青进行间接保温加热，导热油每4~5年更换一次，中间不再进行添加，每次更换产生废导热油约2.9t。根据《国家危险废物名录（2021年版）》，废导热油危废类别为“HW 08 废矿物油与含矿物油废物”，危废代码为“900-249-08”。</w:t>
            </w:r>
          </w:p>
          <w:p>
            <w:pPr>
              <w:pStyle w:val="139"/>
              <w:ind w:firstLine="480"/>
            </w:pPr>
            <w:r>
              <w:t>（2）废润滑油</w:t>
            </w:r>
          </w:p>
          <w:p>
            <w:pPr>
              <w:pStyle w:val="139"/>
              <w:ind w:firstLine="480"/>
            </w:pPr>
            <w:r>
              <w:t>项目营运期生产设备需要定期进行保养维护，在此过程中会产生废润滑油，产生量约0.02t/a。根据《国家危险废物名录（2021年版）》，废润滑油危废类别为“HW08废矿物油与含矿物油废物”，危废代码为“900-217-08”。</w:t>
            </w:r>
          </w:p>
          <w:p>
            <w:pPr>
              <w:pStyle w:val="139"/>
              <w:ind w:firstLine="480"/>
            </w:pPr>
          </w:p>
          <w:p>
            <w:pPr>
              <w:pStyle w:val="139"/>
              <w:ind w:firstLine="480"/>
            </w:pPr>
            <w:r>
              <w:t>（3）废活性炭</w:t>
            </w:r>
          </w:p>
          <w:p>
            <w:pPr>
              <w:pStyle w:val="139"/>
              <w:ind w:firstLine="480"/>
            </w:pPr>
            <w:r>
              <w:t>本项目喷淋塔处理后的沥青烟气采用二级活性炭吸附装置吸附，活性炭吸附挥发性有机废气时，使用一段时间后达到饱和需定期更换，参考陆良杰、王京刚在《化工环保》2007年05期发表的《挥发性有机物的物化性质与活性炭饱和吸附量的相关性研究》，活性炭对挥发性有机废气的饱和吸附量为280mg/g，项目共设置1套“二级活性炭吸附”装置，吸附挥发性有机废气量约为59.25kg，则活性炭用量为211.61kg/a，废活性炭产生量约为270.86kg/a。</w:t>
            </w:r>
            <w:r>
              <w:rPr>
                <w:lang w:bidi="ar"/>
              </w:rPr>
              <w:t>根据《国家危险废物名录》（2021年版），废活性炭属于</w:t>
            </w:r>
            <w:r>
              <w:t>HW49其他废物类危险废物，危废代码为</w:t>
            </w:r>
            <w:r>
              <w:rPr>
                <w:bCs/>
              </w:rPr>
              <w:t>900-039-49</w:t>
            </w:r>
            <w:r>
              <w:t>。废活性炭使用专用密闭容器收集后暂存于危险废物暂存间，委托相关资质单位定期清运处置。</w:t>
            </w:r>
          </w:p>
          <w:p>
            <w:pPr>
              <w:pStyle w:val="139"/>
              <w:ind w:firstLine="480"/>
            </w:pPr>
            <w:r>
              <w:t>根据《建设项目危险废物环境影响评价指南（征求意见稿）》相关要求，本项目危险废物的名称、数量、类别、形态、危险特性及污染防治措施等内容见表4-6。</w:t>
            </w:r>
          </w:p>
          <w:p>
            <w:pPr>
              <w:pStyle w:val="168"/>
            </w:pPr>
            <w:r>
              <w:t>表4-6   危险废物基本情况汇总表</w:t>
            </w:r>
          </w:p>
          <w:tbl>
            <w:tblPr>
              <w:tblStyle w:val="28"/>
              <w:tblW w:w="846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21"/>
              <w:gridCol w:w="1110"/>
              <w:gridCol w:w="876"/>
              <w:gridCol w:w="1196"/>
              <w:gridCol w:w="1685"/>
              <w:gridCol w:w="652"/>
              <w:gridCol w:w="2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821" w:type="dxa"/>
                  <w:tcBorders>
                    <w:tl2br w:val="nil"/>
                    <w:tr2bl w:val="nil"/>
                  </w:tcBorders>
                  <w:vAlign w:val="center"/>
                </w:tcPr>
                <w:p>
                  <w:pPr>
                    <w:pStyle w:val="167"/>
                  </w:pPr>
                  <w:r>
                    <w:t>名称</w:t>
                  </w:r>
                </w:p>
              </w:tc>
              <w:tc>
                <w:tcPr>
                  <w:tcW w:w="1110" w:type="dxa"/>
                  <w:tcBorders>
                    <w:tl2br w:val="nil"/>
                    <w:tr2bl w:val="nil"/>
                  </w:tcBorders>
                  <w:vAlign w:val="center"/>
                </w:tcPr>
                <w:p>
                  <w:pPr>
                    <w:pStyle w:val="167"/>
                  </w:pPr>
                  <w:r>
                    <w:t>废物类别</w:t>
                  </w:r>
                </w:p>
              </w:tc>
              <w:tc>
                <w:tcPr>
                  <w:tcW w:w="876" w:type="dxa"/>
                  <w:tcBorders>
                    <w:tl2br w:val="nil"/>
                    <w:tr2bl w:val="nil"/>
                  </w:tcBorders>
                  <w:vAlign w:val="center"/>
                </w:tcPr>
                <w:p>
                  <w:pPr>
                    <w:pStyle w:val="167"/>
                  </w:pPr>
                  <w:r>
                    <w:t>行业来源</w:t>
                  </w:r>
                </w:p>
              </w:tc>
              <w:tc>
                <w:tcPr>
                  <w:tcW w:w="1196" w:type="dxa"/>
                  <w:tcBorders>
                    <w:tl2br w:val="nil"/>
                    <w:tr2bl w:val="nil"/>
                  </w:tcBorders>
                  <w:vAlign w:val="center"/>
                </w:tcPr>
                <w:p>
                  <w:pPr>
                    <w:pStyle w:val="167"/>
                  </w:pPr>
                  <w:r>
                    <w:t>废物代码</w:t>
                  </w:r>
                </w:p>
              </w:tc>
              <w:tc>
                <w:tcPr>
                  <w:tcW w:w="1685" w:type="dxa"/>
                  <w:tcBorders>
                    <w:tl2br w:val="nil"/>
                    <w:tr2bl w:val="nil"/>
                  </w:tcBorders>
                  <w:vAlign w:val="center"/>
                </w:tcPr>
                <w:p>
                  <w:pPr>
                    <w:pStyle w:val="167"/>
                  </w:pPr>
                  <w:r>
                    <w:t>危险废物</w:t>
                  </w:r>
                </w:p>
              </w:tc>
              <w:tc>
                <w:tcPr>
                  <w:tcW w:w="652" w:type="dxa"/>
                  <w:tcBorders>
                    <w:tl2br w:val="nil"/>
                    <w:tr2bl w:val="nil"/>
                  </w:tcBorders>
                  <w:vAlign w:val="center"/>
                </w:tcPr>
                <w:p>
                  <w:pPr>
                    <w:pStyle w:val="167"/>
                  </w:pPr>
                  <w:r>
                    <w:t>危险特性</w:t>
                  </w:r>
                </w:p>
              </w:tc>
              <w:tc>
                <w:tcPr>
                  <w:tcW w:w="2124" w:type="dxa"/>
                  <w:tcBorders>
                    <w:tl2br w:val="nil"/>
                    <w:tr2bl w:val="nil"/>
                  </w:tcBorders>
                  <w:vAlign w:val="center"/>
                </w:tcPr>
                <w:p>
                  <w:pPr>
                    <w:pStyle w:val="167"/>
                  </w:pPr>
                  <w:r>
                    <w:t>污染防治措施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97" w:hRule="atLeast"/>
                <w:jc w:val="center"/>
              </w:trPr>
              <w:tc>
                <w:tcPr>
                  <w:tcW w:w="821" w:type="dxa"/>
                  <w:tcBorders>
                    <w:tl2br w:val="nil"/>
                    <w:tr2bl w:val="nil"/>
                  </w:tcBorders>
                  <w:vAlign w:val="center"/>
                </w:tcPr>
                <w:p>
                  <w:pPr>
                    <w:pStyle w:val="167"/>
                  </w:pPr>
                  <w:r>
                    <w:t>废导热油</w:t>
                  </w:r>
                </w:p>
              </w:tc>
              <w:tc>
                <w:tcPr>
                  <w:tcW w:w="1110" w:type="dxa"/>
                  <w:tcBorders>
                    <w:tl2br w:val="nil"/>
                    <w:tr2bl w:val="nil"/>
                  </w:tcBorders>
                  <w:vAlign w:val="center"/>
                </w:tcPr>
                <w:p>
                  <w:pPr>
                    <w:pStyle w:val="167"/>
                  </w:pPr>
                  <w:r>
                    <w:t>HW08废矿物油与含矿物油废物</w:t>
                  </w:r>
                </w:p>
              </w:tc>
              <w:tc>
                <w:tcPr>
                  <w:tcW w:w="876" w:type="dxa"/>
                  <w:tcBorders>
                    <w:tl2br w:val="nil"/>
                    <w:tr2bl w:val="nil"/>
                  </w:tcBorders>
                  <w:vAlign w:val="center"/>
                </w:tcPr>
                <w:p>
                  <w:pPr>
                    <w:pStyle w:val="167"/>
                  </w:pPr>
                  <w:r>
                    <w:t>非特定行业</w:t>
                  </w:r>
                </w:p>
              </w:tc>
              <w:tc>
                <w:tcPr>
                  <w:tcW w:w="1196" w:type="dxa"/>
                  <w:tcBorders>
                    <w:tl2br w:val="nil"/>
                    <w:tr2bl w:val="nil"/>
                  </w:tcBorders>
                  <w:vAlign w:val="center"/>
                </w:tcPr>
                <w:p>
                  <w:pPr>
                    <w:pStyle w:val="167"/>
                  </w:pPr>
                  <w:r>
                    <w:t>900-249-08</w:t>
                  </w:r>
                </w:p>
              </w:tc>
              <w:tc>
                <w:tcPr>
                  <w:tcW w:w="1685" w:type="dxa"/>
                  <w:tcBorders>
                    <w:tl2br w:val="nil"/>
                    <w:tr2bl w:val="nil"/>
                  </w:tcBorders>
                  <w:vAlign w:val="center"/>
                </w:tcPr>
                <w:p>
                  <w:pPr>
                    <w:pStyle w:val="167"/>
                    <w:rPr>
                      <w:lang w:val="zh-CN"/>
                    </w:rPr>
                  </w:pPr>
                  <w:r>
                    <w:t>其他生产、销售、使用过程中产生的废矿物油及沾染矿物油的废弃包装物</w:t>
                  </w:r>
                </w:p>
              </w:tc>
              <w:tc>
                <w:tcPr>
                  <w:tcW w:w="652" w:type="dxa"/>
                  <w:tcBorders>
                    <w:tl2br w:val="nil"/>
                    <w:tr2bl w:val="nil"/>
                  </w:tcBorders>
                  <w:vAlign w:val="center"/>
                </w:tcPr>
                <w:p>
                  <w:pPr>
                    <w:pStyle w:val="167"/>
                  </w:pPr>
                  <w:r>
                    <w:t>T，I</w:t>
                  </w:r>
                </w:p>
              </w:tc>
              <w:tc>
                <w:tcPr>
                  <w:tcW w:w="2124" w:type="dxa"/>
                  <w:vMerge w:val="restart"/>
                  <w:tcBorders>
                    <w:tl2br w:val="nil"/>
                    <w:tr2bl w:val="nil"/>
                  </w:tcBorders>
                  <w:vAlign w:val="center"/>
                </w:tcPr>
                <w:p>
                  <w:pPr>
                    <w:pStyle w:val="167"/>
                  </w:pPr>
                  <w:r>
                    <w:t>统一收集，分类分区暂存于危险废物暂存间内，委托相关资质单位定期清运处置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97" w:hRule="atLeast"/>
                <w:jc w:val="center"/>
              </w:trPr>
              <w:tc>
                <w:tcPr>
                  <w:tcW w:w="821" w:type="dxa"/>
                  <w:tcBorders>
                    <w:tl2br w:val="nil"/>
                    <w:tr2bl w:val="nil"/>
                  </w:tcBorders>
                  <w:vAlign w:val="center"/>
                </w:tcPr>
                <w:p>
                  <w:pPr>
                    <w:pStyle w:val="167"/>
                  </w:pPr>
                  <w:r>
                    <w:t>废润滑油</w:t>
                  </w:r>
                </w:p>
              </w:tc>
              <w:tc>
                <w:tcPr>
                  <w:tcW w:w="1110" w:type="dxa"/>
                  <w:tcBorders>
                    <w:tl2br w:val="nil"/>
                    <w:tr2bl w:val="nil"/>
                  </w:tcBorders>
                  <w:vAlign w:val="center"/>
                </w:tcPr>
                <w:p>
                  <w:pPr>
                    <w:pStyle w:val="167"/>
                  </w:pPr>
                  <w:r>
                    <w:t>HW08废矿物油与含矿物油废物</w:t>
                  </w:r>
                </w:p>
              </w:tc>
              <w:tc>
                <w:tcPr>
                  <w:tcW w:w="876" w:type="dxa"/>
                  <w:tcBorders>
                    <w:tl2br w:val="nil"/>
                    <w:tr2bl w:val="nil"/>
                  </w:tcBorders>
                  <w:vAlign w:val="center"/>
                </w:tcPr>
                <w:p>
                  <w:pPr>
                    <w:pStyle w:val="167"/>
                  </w:pPr>
                  <w:r>
                    <w:t>非特定行业</w:t>
                  </w:r>
                </w:p>
              </w:tc>
              <w:tc>
                <w:tcPr>
                  <w:tcW w:w="1196" w:type="dxa"/>
                  <w:tcBorders>
                    <w:tl2br w:val="nil"/>
                    <w:tr2bl w:val="nil"/>
                  </w:tcBorders>
                  <w:vAlign w:val="center"/>
                </w:tcPr>
                <w:p>
                  <w:pPr>
                    <w:pStyle w:val="167"/>
                  </w:pPr>
                  <w:r>
                    <w:t>900-217-08</w:t>
                  </w:r>
                </w:p>
              </w:tc>
              <w:tc>
                <w:tcPr>
                  <w:tcW w:w="1685" w:type="dxa"/>
                  <w:tcBorders>
                    <w:tl2br w:val="nil"/>
                    <w:tr2bl w:val="nil"/>
                  </w:tcBorders>
                  <w:vAlign w:val="center"/>
                </w:tcPr>
                <w:p>
                  <w:pPr>
                    <w:pStyle w:val="167"/>
                    <w:rPr>
                      <w:lang w:val="zh-CN"/>
                    </w:rPr>
                  </w:pPr>
                  <w:r>
                    <w:rPr>
                      <w:lang w:val="zh-CN"/>
                    </w:rPr>
                    <w:t>使用工业齿轮油进行机械设备润滑过程中产生的废润滑油</w:t>
                  </w:r>
                </w:p>
              </w:tc>
              <w:tc>
                <w:tcPr>
                  <w:tcW w:w="652" w:type="dxa"/>
                  <w:tcBorders>
                    <w:tl2br w:val="nil"/>
                    <w:tr2bl w:val="nil"/>
                  </w:tcBorders>
                  <w:vAlign w:val="center"/>
                </w:tcPr>
                <w:p>
                  <w:pPr>
                    <w:pStyle w:val="167"/>
                  </w:pPr>
                  <w:r>
                    <w:t>T，I</w:t>
                  </w:r>
                </w:p>
              </w:tc>
              <w:tc>
                <w:tcPr>
                  <w:tcW w:w="2124" w:type="dxa"/>
                  <w:vMerge w:val="continue"/>
                  <w:tcBorders>
                    <w:tl2br w:val="nil"/>
                    <w:tr2bl w:val="nil"/>
                  </w:tcBorders>
                  <w:vAlign w:val="center"/>
                </w:tcPr>
                <w:p>
                  <w:pPr>
                    <w:pStyle w:val="16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97" w:hRule="atLeast"/>
                <w:jc w:val="center"/>
              </w:trPr>
              <w:tc>
                <w:tcPr>
                  <w:tcW w:w="821" w:type="dxa"/>
                  <w:tcBorders>
                    <w:tl2br w:val="nil"/>
                    <w:tr2bl w:val="nil"/>
                  </w:tcBorders>
                  <w:vAlign w:val="center"/>
                </w:tcPr>
                <w:p>
                  <w:pPr>
                    <w:pStyle w:val="167"/>
                  </w:pPr>
                  <w:r>
                    <w:t>废活性炭</w:t>
                  </w:r>
                </w:p>
              </w:tc>
              <w:tc>
                <w:tcPr>
                  <w:tcW w:w="1110" w:type="dxa"/>
                  <w:tcBorders>
                    <w:tl2br w:val="nil"/>
                    <w:tr2bl w:val="nil"/>
                  </w:tcBorders>
                  <w:vAlign w:val="center"/>
                </w:tcPr>
                <w:p>
                  <w:pPr>
                    <w:pStyle w:val="167"/>
                  </w:pPr>
                  <w:r>
                    <w:t>HW49其他废物</w:t>
                  </w:r>
                </w:p>
              </w:tc>
              <w:tc>
                <w:tcPr>
                  <w:tcW w:w="876" w:type="dxa"/>
                  <w:tcBorders>
                    <w:tl2br w:val="nil"/>
                    <w:tr2bl w:val="nil"/>
                  </w:tcBorders>
                  <w:vAlign w:val="center"/>
                </w:tcPr>
                <w:p>
                  <w:pPr>
                    <w:pStyle w:val="167"/>
                  </w:pPr>
                  <w:r>
                    <w:t>非特定行业</w:t>
                  </w:r>
                </w:p>
              </w:tc>
              <w:tc>
                <w:tcPr>
                  <w:tcW w:w="1196" w:type="dxa"/>
                  <w:tcBorders>
                    <w:tl2br w:val="nil"/>
                    <w:tr2bl w:val="nil"/>
                  </w:tcBorders>
                  <w:vAlign w:val="center"/>
                </w:tcPr>
                <w:p>
                  <w:pPr>
                    <w:pStyle w:val="167"/>
                  </w:pPr>
                  <w:r>
                    <w:t>900-039-49</w:t>
                  </w:r>
                </w:p>
              </w:tc>
              <w:tc>
                <w:tcPr>
                  <w:tcW w:w="1685" w:type="dxa"/>
                  <w:tcBorders>
                    <w:tl2br w:val="nil"/>
                    <w:tr2bl w:val="nil"/>
                  </w:tcBorders>
                  <w:vAlign w:val="center"/>
                </w:tcPr>
                <w:p>
                  <w:pPr>
                    <w:pStyle w:val="167"/>
                    <w:rPr>
                      <w:lang w:val="zh-CN"/>
                    </w:rPr>
                  </w:pPr>
                  <w:r>
                    <w:rPr>
                      <w:lang w:val="zh-CN"/>
                    </w:rPr>
                    <w:t>烟气、VOCs治理过程（不包括餐饮行业油烟治理过程）产生的废活性炭</w:t>
                  </w:r>
                </w:p>
              </w:tc>
              <w:tc>
                <w:tcPr>
                  <w:tcW w:w="652" w:type="dxa"/>
                  <w:tcBorders>
                    <w:tl2br w:val="nil"/>
                    <w:tr2bl w:val="nil"/>
                  </w:tcBorders>
                  <w:vAlign w:val="center"/>
                </w:tcPr>
                <w:p>
                  <w:pPr>
                    <w:pStyle w:val="167"/>
                  </w:pPr>
                  <w:r>
                    <w:t>T</w:t>
                  </w:r>
                </w:p>
              </w:tc>
              <w:tc>
                <w:tcPr>
                  <w:tcW w:w="2124" w:type="dxa"/>
                  <w:vMerge w:val="continue"/>
                  <w:tcBorders>
                    <w:tl2br w:val="nil"/>
                    <w:tr2bl w:val="nil"/>
                  </w:tcBorders>
                  <w:vAlign w:val="center"/>
                </w:tcPr>
                <w:p>
                  <w:pPr>
                    <w:pStyle w:val="167"/>
                  </w:pPr>
                </w:p>
              </w:tc>
            </w:tr>
          </w:tbl>
          <w:p>
            <w:pPr>
              <w:pStyle w:val="164"/>
            </w:pPr>
            <w:r>
              <w:t>3、生活垃圾</w:t>
            </w:r>
          </w:p>
          <w:p>
            <w:pPr>
              <w:pStyle w:val="139"/>
              <w:ind w:firstLine="480"/>
              <w:rPr>
                <w:kern w:val="0"/>
              </w:rPr>
            </w:pPr>
            <w:r>
              <w:t>项目建成后工作人员数量为5人，项目区不设食宿，根据城镇生活源产排污系数手册，员工生活垃圾产生量按0.5kg/d人计算，则员工生活垃圾的产生量为2.5kg/d，0.075t/a。</w:t>
            </w:r>
            <w:r>
              <w:rPr>
                <w:kern w:val="0"/>
              </w:rPr>
              <w:t>生活垃圾由项目区工作人员统一收集后由园区环卫部门定期</w:t>
            </w:r>
            <w:r>
              <w:t>清运、处置</w:t>
            </w:r>
            <w:r>
              <w:rPr>
                <w:kern w:val="0"/>
              </w:rPr>
              <w:t>。</w:t>
            </w:r>
          </w:p>
          <w:p>
            <w:pPr>
              <w:pStyle w:val="164"/>
            </w:pPr>
            <w:r>
              <w:t>4、废含油抹布、劳保用品</w:t>
            </w:r>
          </w:p>
          <w:p>
            <w:pPr>
              <w:pStyle w:val="139"/>
              <w:ind w:firstLine="480"/>
              <w:rPr>
                <w:b/>
                <w:bCs/>
              </w:rPr>
            </w:pPr>
            <w:r>
              <w:t>根据</w:t>
            </w:r>
            <w:r>
              <w:rPr>
                <w:bCs/>
              </w:rPr>
              <w:t>建设单位介绍，项目区内的生产设备需定期进行维修保养，该过程会产生</w:t>
            </w:r>
            <w:r>
              <w:t>废弃手套、抹布等，产生量约为0.02t/a。</w:t>
            </w:r>
            <w:r>
              <w:rPr>
                <w:rStyle w:val="93"/>
                <w:rFonts w:ascii="Times New Roman" w:hAnsi="Times New Roman" w:eastAsia="宋体"/>
                <w:spacing w:val="0"/>
                <w:szCs w:val="24"/>
              </w:rPr>
              <w:t>根据</w:t>
            </w:r>
            <w:r>
              <w:t>《国家危险废物名录》（2021版），废弃的含油抹布、劳保用品属于HW49其他废物类危险废物，危废代码为900-041-49</w:t>
            </w:r>
            <w:r>
              <w:rPr>
                <w:rStyle w:val="93"/>
                <w:rFonts w:ascii="Times New Roman" w:hAnsi="Times New Roman" w:eastAsia="宋体"/>
                <w:spacing w:val="0"/>
                <w:szCs w:val="24"/>
              </w:rPr>
              <w:t>。</w:t>
            </w:r>
            <w:r>
              <w:t>根据《国家危险废物名录（2021年版）》“废弃含油抹布、劳保用品”在危险废物豁免管理清单之列，统一收集后交由环卫部门清运处置。</w:t>
            </w:r>
          </w:p>
          <w:p>
            <w:pPr>
              <w:pStyle w:val="139"/>
              <w:ind w:firstLine="480"/>
              <w:rPr>
                <w:rStyle w:val="47"/>
                <w:b/>
              </w:rPr>
            </w:pPr>
            <w:r>
              <w:t>根据《污染源源强核算技术指南准则》（HJ884-2018）原则、方法核算本项目污染源核算，固体废物核算结果及相关参数列表如下表所示。</w:t>
            </w:r>
          </w:p>
          <w:p>
            <w:pPr>
              <w:pStyle w:val="168"/>
              <w:rPr>
                <w:rStyle w:val="47"/>
              </w:rPr>
            </w:pPr>
            <w:r>
              <w:rPr>
                <w:rStyle w:val="47"/>
              </w:rPr>
              <w:t>表4-7   本项目固体废物污染源源强核算结果及相关参数一览表   t/a</w:t>
            </w:r>
          </w:p>
          <w:tbl>
            <w:tblPr>
              <w:tblStyle w:val="2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2"/>
              <w:gridCol w:w="1087"/>
              <w:gridCol w:w="1529"/>
              <w:gridCol w:w="119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pStyle w:val="167"/>
                    <w:rPr>
                      <w:rStyle w:val="47"/>
                    </w:rPr>
                  </w:pPr>
                  <w:r>
                    <w:rPr>
                      <w:rStyle w:val="47"/>
                    </w:rPr>
                    <w:t>固废名称</w:t>
                  </w:r>
                </w:p>
              </w:tc>
              <w:tc>
                <w:tcPr>
                  <w:tcW w:w="1252" w:type="dxa"/>
                  <w:vAlign w:val="center"/>
                </w:tcPr>
                <w:p>
                  <w:pPr>
                    <w:pStyle w:val="167"/>
                    <w:rPr>
                      <w:rStyle w:val="47"/>
                    </w:rPr>
                  </w:pPr>
                  <w:r>
                    <w:rPr>
                      <w:rStyle w:val="47"/>
                    </w:rPr>
                    <w:t>产生工序</w:t>
                  </w:r>
                </w:p>
              </w:tc>
              <w:tc>
                <w:tcPr>
                  <w:tcW w:w="1087" w:type="dxa"/>
                  <w:vAlign w:val="center"/>
                </w:tcPr>
                <w:p>
                  <w:pPr>
                    <w:pStyle w:val="167"/>
                    <w:rPr>
                      <w:rStyle w:val="47"/>
                    </w:rPr>
                  </w:pPr>
                  <w:r>
                    <w:rPr>
                      <w:rStyle w:val="47"/>
                    </w:rPr>
                    <w:t>产生量（t/a）</w:t>
                  </w:r>
                </w:p>
              </w:tc>
              <w:tc>
                <w:tcPr>
                  <w:tcW w:w="1529" w:type="dxa"/>
                  <w:vAlign w:val="center"/>
                </w:tcPr>
                <w:p>
                  <w:pPr>
                    <w:pStyle w:val="167"/>
                    <w:rPr>
                      <w:rStyle w:val="47"/>
                    </w:rPr>
                  </w:pPr>
                  <w:r>
                    <w:rPr>
                      <w:rStyle w:val="47"/>
                    </w:rPr>
                    <w:t>废物类别</w:t>
                  </w:r>
                </w:p>
              </w:tc>
              <w:tc>
                <w:tcPr>
                  <w:tcW w:w="1196" w:type="dxa"/>
                  <w:vAlign w:val="center"/>
                </w:tcPr>
                <w:p>
                  <w:pPr>
                    <w:pStyle w:val="167"/>
                    <w:rPr>
                      <w:rStyle w:val="47"/>
                    </w:rPr>
                  </w:pPr>
                  <w:r>
                    <w:rPr>
                      <w:rStyle w:val="47"/>
                    </w:rPr>
                    <w:t>废物代码</w:t>
                  </w:r>
                </w:p>
              </w:tc>
              <w:tc>
                <w:tcPr>
                  <w:tcW w:w="2212" w:type="dxa"/>
                  <w:vAlign w:val="center"/>
                </w:tcPr>
                <w:p>
                  <w:pPr>
                    <w:pStyle w:val="167"/>
                    <w:rPr>
                      <w:rStyle w:val="47"/>
                    </w:rPr>
                  </w:pPr>
                  <w:r>
                    <w:rPr>
                      <w:rStyle w:val="47"/>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pStyle w:val="167"/>
                  </w:pPr>
                  <w:r>
                    <w:t>除尘系统收集粉尘</w:t>
                  </w:r>
                </w:p>
              </w:tc>
              <w:tc>
                <w:tcPr>
                  <w:tcW w:w="1252" w:type="dxa"/>
                  <w:vAlign w:val="center"/>
                </w:tcPr>
                <w:p>
                  <w:pPr>
                    <w:pStyle w:val="167"/>
                    <w:rPr>
                      <w:rStyle w:val="47"/>
                    </w:rPr>
                  </w:pPr>
                  <w:r>
                    <w:t>除尘系统</w:t>
                  </w:r>
                </w:p>
              </w:tc>
              <w:tc>
                <w:tcPr>
                  <w:tcW w:w="1087" w:type="dxa"/>
                  <w:vAlign w:val="center"/>
                </w:tcPr>
                <w:p>
                  <w:pPr>
                    <w:pStyle w:val="167"/>
                    <w:rPr>
                      <w:lang w:bidi="en-US"/>
                    </w:rPr>
                  </w:pPr>
                  <w:r>
                    <w:rPr>
                      <w:lang w:bidi="en-US"/>
                    </w:rPr>
                    <w:t>0.3747</w:t>
                  </w:r>
                </w:p>
              </w:tc>
              <w:tc>
                <w:tcPr>
                  <w:tcW w:w="1529" w:type="dxa"/>
                  <w:vAlign w:val="center"/>
                </w:tcPr>
                <w:p>
                  <w:pPr>
                    <w:pStyle w:val="167"/>
                    <w:rPr>
                      <w:rStyle w:val="47"/>
                    </w:rPr>
                  </w:pPr>
                  <w:r>
                    <w:rPr>
                      <w:rStyle w:val="47"/>
                    </w:rPr>
                    <w:t>--</w:t>
                  </w:r>
                </w:p>
              </w:tc>
              <w:tc>
                <w:tcPr>
                  <w:tcW w:w="1196" w:type="dxa"/>
                  <w:vAlign w:val="center"/>
                </w:tcPr>
                <w:p>
                  <w:pPr>
                    <w:pStyle w:val="167"/>
                    <w:rPr>
                      <w:rStyle w:val="47"/>
                    </w:rPr>
                  </w:pPr>
                  <w:r>
                    <w:rPr>
                      <w:rStyle w:val="47"/>
                    </w:rPr>
                    <w:t>900-999-66</w:t>
                  </w:r>
                </w:p>
              </w:tc>
              <w:tc>
                <w:tcPr>
                  <w:tcW w:w="2212" w:type="dxa"/>
                  <w:vAlign w:val="center"/>
                </w:tcPr>
                <w:p>
                  <w:pPr>
                    <w:pStyle w:val="167"/>
                    <w:rPr>
                      <w:lang w:bidi="en-US"/>
                    </w:rPr>
                  </w:pPr>
                  <w:r>
                    <w:rPr>
                      <w:lang w:bidi="en-US"/>
                    </w:rPr>
                    <w:t>收集后作为粉料回用于生产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pStyle w:val="167"/>
                  </w:pPr>
                  <w:r>
                    <w:t>滴漏沥青及拌合残渣</w:t>
                  </w:r>
                </w:p>
              </w:tc>
              <w:tc>
                <w:tcPr>
                  <w:tcW w:w="1252" w:type="dxa"/>
                  <w:vAlign w:val="center"/>
                </w:tcPr>
                <w:p>
                  <w:pPr>
                    <w:pStyle w:val="167"/>
                    <w:rPr>
                      <w:rStyle w:val="47"/>
                    </w:rPr>
                  </w:pPr>
                  <w:r>
                    <w:t>沥青混凝土拌合</w:t>
                  </w:r>
                </w:p>
              </w:tc>
              <w:tc>
                <w:tcPr>
                  <w:tcW w:w="1087" w:type="dxa"/>
                  <w:vAlign w:val="center"/>
                </w:tcPr>
                <w:p>
                  <w:pPr>
                    <w:pStyle w:val="167"/>
                    <w:rPr>
                      <w:lang w:bidi="en-US"/>
                    </w:rPr>
                  </w:pPr>
                  <w:r>
                    <w:t>0.2</w:t>
                  </w:r>
                </w:p>
              </w:tc>
              <w:tc>
                <w:tcPr>
                  <w:tcW w:w="1529" w:type="dxa"/>
                  <w:vAlign w:val="center"/>
                </w:tcPr>
                <w:p>
                  <w:pPr>
                    <w:pStyle w:val="167"/>
                    <w:rPr>
                      <w:rStyle w:val="47"/>
                    </w:rPr>
                  </w:pPr>
                  <w:r>
                    <w:rPr>
                      <w:rStyle w:val="47"/>
                    </w:rPr>
                    <w:t>--</w:t>
                  </w:r>
                </w:p>
              </w:tc>
              <w:tc>
                <w:tcPr>
                  <w:tcW w:w="1196" w:type="dxa"/>
                  <w:vAlign w:val="center"/>
                </w:tcPr>
                <w:p>
                  <w:pPr>
                    <w:pStyle w:val="167"/>
                    <w:rPr>
                      <w:rStyle w:val="47"/>
                    </w:rPr>
                  </w:pPr>
                  <w:r>
                    <w:rPr>
                      <w:rStyle w:val="47"/>
                    </w:rPr>
                    <w:t>300-001-46</w:t>
                  </w:r>
                </w:p>
              </w:tc>
              <w:tc>
                <w:tcPr>
                  <w:tcW w:w="2212" w:type="dxa"/>
                  <w:vAlign w:val="center"/>
                </w:tcPr>
                <w:p>
                  <w:pPr>
                    <w:pStyle w:val="167"/>
                  </w:pPr>
                  <w:r>
                    <w:t>收集后清运至云龙公路分局废料堆弃场堆存处置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pStyle w:val="167"/>
                  </w:pPr>
                  <w:r>
                    <w:t>废导热油</w:t>
                  </w:r>
                </w:p>
              </w:tc>
              <w:tc>
                <w:tcPr>
                  <w:tcW w:w="1252" w:type="dxa"/>
                  <w:vAlign w:val="center"/>
                </w:tcPr>
                <w:p>
                  <w:pPr>
                    <w:pStyle w:val="167"/>
                    <w:rPr>
                      <w:rStyle w:val="47"/>
                    </w:rPr>
                  </w:pPr>
                  <w:r>
                    <w:rPr>
                      <w:rStyle w:val="47"/>
                    </w:rPr>
                    <w:t>沥青加热、保温</w:t>
                  </w:r>
                </w:p>
              </w:tc>
              <w:tc>
                <w:tcPr>
                  <w:tcW w:w="1087" w:type="dxa"/>
                  <w:vAlign w:val="center"/>
                </w:tcPr>
                <w:p>
                  <w:pPr>
                    <w:pStyle w:val="167"/>
                    <w:rPr>
                      <w:rStyle w:val="47"/>
                    </w:rPr>
                  </w:pPr>
                  <w:r>
                    <w:rPr>
                      <w:rStyle w:val="47"/>
                    </w:rPr>
                    <w:t>2.9</w:t>
                  </w:r>
                </w:p>
              </w:tc>
              <w:tc>
                <w:tcPr>
                  <w:tcW w:w="1529" w:type="dxa"/>
                  <w:vAlign w:val="center"/>
                </w:tcPr>
                <w:p>
                  <w:pPr>
                    <w:pStyle w:val="167"/>
                  </w:pPr>
                  <w:r>
                    <w:t>HW08废矿物油与含矿物油废物</w:t>
                  </w:r>
                </w:p>
              </w:tc>
              <w:tc>
                <w:tcPr>
                  <w:tcW w:w="1196" w:type="dxa"/>
                  <w:vAlign w:val="center"/>
                </w:tcPr>
                <w:p>
                  <w:pPr>
                    <w:pStyle w:val="167"/>
                  </w:pPr>
                  <w:r>
                    <w:t>900-249-08</w:t>
                  </w:r>
                </w:p>
              </w:tc>
              <w:tc>
                <w:tcPr>
                  <w:tcW w:w="2212" w:type="dxa"/>
                  <w:vMerge w:val="restart"/>
                  <w:vAlign w:val="center"/>
                </w:tcPr>
                <w:p>
                  <w:pPr>
                    <w:pStyle w:val="167"/>
                    <w:rPr>
                      <w:rStyle w:val="47"/>
                    </w:rPr>
                  </w:pPr>
                  <w:r>
                    <w:rPr>
                      <w:lang w:val="zh-CN"/>
                    </w:rPr>
                    <w:t>暂存于危险废物暂存间，</w:t>
                  </w:r>
                  <w:r>
                    <w:t>委托相关资质单位定期清运处置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pStyle w:val="167"/>
                  </w:pPr>
                  <w:r>
                    <w:t>废润滑油</w:t>
                  </w:r>
                </w:p>
              </w:tc>
              <w:tc>
                <w:tcPr>
                  <w:tcW w:w="1252" w:type="dxa"/>
                  <w:vAlign w:val="center"/>
                </w:tcPr>
                <w:p>
                  <w:pPr>
                    <w:pStyle w:val="167"/>
                    <w:rPr>
                      <w:rStyle w:val="47"/>
                    </w:rPr>
                  </w:pPr>
                  <w:r>
                    <w:rPr>
                      <w:rStyle w:val="47"/>
                    </w:rPr>
                    <w:t>生产设备保养维护</w:t>
                  </w:r>
                </w:p>
              </w:tc>
              <w:tc>
                <w:tcPr>
                  <w:tcW w:w="1087" w:type="dxa"/>
                  <w:vAlign w:val="center"/>
                </w:tcPr>
                <w:p>
                  <w:pPr>
                    <w:pStyle w:val="167"/>
                    <w:rPr>
                      <w:rStyle w:val="47"/>
                    </w:rPr>
                  </w:pPr>
                  <w:r>
                    <w:rPr>
                      <w:rStyle w:val="47"/>
                    </w:rPr>
                    <w:t>0.02</w:t>
                  </w:r>
                </w:p>
              </w:tc>
              <w:tc>
                <w:tcPr>
                  <w:tcW w:w="1529" w:type="dxa"/>
                  <w:vAlign w:val="center"/>
                </w:tcPr>
                <w:p>
                  <w:pPr>
                    <w:pStyle w:val="167"/>
                  </w:pPr>
                  <w:r>
                    <w:t>HW08废矿物油与含矿物油废物</w:t>
                  </w:r>
                </w:p>
              </w:tc>
              <w:tc>
                <w:tcPr>
                  <w:tcW w:w="1196" w:type="dxa"/>
                  <w:vAlign w:val="center"/>
                </w:tcPr>
                <w:p>
                  <w:pPr>
                    <w:pStyle w:val="167"/>
                  </w:pPr>
                  <w:r>
                    <w:t>900-217-08</w:t>
                  </w:r>
                </w:p>
              </w:tc>
              <w:tc>
                <w:tcPr>
                  <w:tcW w:w="2212"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pStyle w:val="167"/>
                  </w:pPr>
                  <w:r>
                    <w:t>废活性炭</w:t>
                  </w:r>
                </w:p>
              </w:tc>
              <w:tc>
                <w:tcPr>
                  <w:tcW w:w="1252" w:type="dxa"/>
                  <w:vAlign w:val="center"/>
                </w:tcPr>
                <w:p>
                  <w:pPr>
                    <w:pStyle w:val="167"/>
                    <w:rPr>
                      <w:rStyle w:val="47"/>
                    </w:rPr>
                  </w:pPr>
                  <w:r>
                    <w:rPr>
                      <w:rStyle w:val="47"/>
                    </w:rPr>
                    <w:t>沥青烟气、有机废气治理</w:t>
                  </w:r>
                </w:p>
              </w:tc>
              <w:tc>
                <w:tcPr>
                  <w:tcW w:w="1087" w:type="dxa"/>
                  <w:vAlign w:val="center"/>
                </w:tcPr>
                <w:p>
                  <w:pPr>
                    <w:pStyle w:val="167"/>
                    <w:rPr>
                      <w:rStyle w:val="47"/>
                    </w:rPr>
                  </w:pPr>
                  <w:r>
                    <w:rPr>
                      <w:rStyle w:val="47"/>
                    </w:rPr>
                    <w:t>0.27086</w:t>
                  </w:r>
                </w:p>
              </w:tc>
              <w:tc>
                <w:tcPr>
                  <w:tcW w:w="1529" w:type="dxa"/>
                  <w:vAlign w:val="center"/>
                </w:tcPr>
                <w:p>
                  <w:pPr>
                    <w:pStyle w:val="167"/>
                  </w:pPr>
                  <w:r>
                    <w:t>HW49其他废物</w:t>
                  </w:r>
                </w:p>
              </w:tc>
              <w:tc>
                <w:tcPr>
                  <w:tcW w:w="1196" w:type="dxa"/>
                  <w:vAlign w:val="center"/>
                </w:tcPr>
                <w:p>
                  <w:pPr>
                    <w:pStyle w:val="167"/>
                  </w:pPr>
                  <w:r>
                    <w:t>900-039-49</w:t>
                  </w:r>
                </w:p>
              </w:tc>
              <w:tc>
                <w:tcPr>
                  <w:tcW w:w="2212" w:type="dxa"/>
                  <w:vMerge w:val="continue"/>
                  <w:vAlign w:val="center"/>
                </w:tcPr>
                <w:p>
                  <w:pPr>
                    <w:pStyle w:val="167"/>
                    <w:rPr>
                      <w:rStyle w:val="4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pStyle w:val="167"/>
                  </w:pPr>
                  <w:r>
                    <w:t>废含油抹布、劳保用品</w:t>
                  </w:r>
                </w:p>
              </w:tc>
              <w:tc>
                <w:tcPr>
                  <w:tcW w:w="1252" w:type="dxa"/>
                  <w:vAlign w:val="center"/>
                </w:tcPr>
                <w:p>
                  <w:pPr>
                    <w:pStyle w:val="167"/>
                    <w:rPr>
                      <w:rStyle w:val="47"/>
                    </w:rPr>
                  </w:pPr>
                  <w:r>
                    <w:rPr>
                      <w:rStyle w:val="47"/>
                    </w:rPr>
                    <w:t>生产设备保养维护</w:t>
                  </w:r>
                </w:p>
              </w:tc>
              <w:tc>
                <w:tcPr>
                  <w:tcW w:w="1087" w:type="dxa"/>
                  <w:vAlign w:val="center"/>
                </w:tcPr>
                <w:p>
                  <w:pPr>
                    <w:pStyle w:val="167"/>
                    <w:rPr>
                      <w:rStyle w:val="47"/>
                    </w:rPr>
                  </w:pPr>
                  <w:r>
                    <w:rPr>
                      <w:rStyle w:val="47"/>
                    </w:rPr>
                    <w:t>0.02</w:t>
                  </w:r>
                </w:p>
              </w:tc>
              <w:tc>
                <w:tcPr>
                  <w:tcW w:w="1529" w:type="dxa"/>
                  <w:vAlign w:val="center"/>
                </w:tcPr>
                <w:p>
                  <w:pPr>
                    <w:pStyle w:val="167"/>
                  </w:pPr>
                  <w:r>
                    <w:t>HW49其他废物</w:t>
                  </w:r>
                </w:p>
              </w:tc>
              <w:tc>
                <w:tcPr>
                  <w:tcW w:w="1196" w:type="dxa"/>
                  <w:vAlign w:val="center"/>
                </w:tcPr>
                <w:p>
                  <w:pPr>
                    <w:pStyle w:val="167"/>
                  </w:pPr>
                  <w:r>
                    <w:t>900-041-49</w:t>
                  </w:r>
                </w:p>
              </w:tc>
              <w:tc>
                <w:tcPr>
                  <w:tcW w:w="2212" w:type="dxa"/>
                  <w:vMerge w:val="restart"/>
                  <w:vAlign w:val="center"/>
                </w:tcPr>
                <w:p>
                  <w:pPr>
                    <w:pStyle w:val="167"/>
                    <w:rPr>
                      <w:lang w:val="zh-CN"/>
                    </w:rPr>
                  </w:pPr>
                  <w:r>
                    <w:t>经垃圾桶收集后同生活垃圾一起清运至团结乡垃圾收集点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pStyle w:val="167"/>
                    <w:rPr>
                      <w:rStyle w:val="47"/>
                    </w:rPr>
                  </w:pPr>
                  <w:r>
                    <w:rPr>
                      <w:rStyle w:val="47"/>
                    </w:rPr>
                    <w:t>生活垃圾</w:t>
                  </w:r>
                </w:p>
              </w:tc>
              <w:tc>
                <w:tcPr>
                  <w:tcW w:w="1252" w:type="dxa"/>
                  <w:vAlign w:val="center"/>
                </w:tcPr>
                <w:p>
                  <w:pPr>
                    <w:pStyle w:val="167"/>
                    <w:rPr>
                      <w:rStyle w:val="47"/>
                    </w:rPr>
                  </w:pPr>
                  <w:r>
                    <w:rPr>
                      <w:rStyle w:val="47"/>
                    </w:rPr>
                    <w:t>职工办公</w:t>
                  </w:r>
                </w:p>
              </w:tc>
              <w:tc>
                <w:tcPr>
                  <w:tcW w:w="1087" w:type="dxa"/>
                  <w:vAlign w:val="center"/>
                </w:tcPr>
                <w:p>
                  <w:pPr>
                    <w:pStyle w:val="167"/>
                    <w:rPr>
                      <w:rStyle w:val="47"/>
                    </w:rPr>
                  </w:pPr>
                  <w:r>
                    <w:rPr>
                      <w:rStyle w:val="47"/>
                    </w:rPr>
                    <w:t>0.075</w:t>
                  </w:r>
                </w:p>
              </w:tc>
              <w:tc>
                <w:tcPr>
                  <w:tcW w:w="1529" w:type="dxa"/>
                  <w:vAlign w:val="center"/>
                </w:tcPr>
                <w:p>
                  <w:pPr>
                    <w:pStyle w:val="167"/>
                    <w:rPr>
                      <w:rStyle w:val="47"/>
                    </w:rPr>
                  </w:pPr>
                  <w:r>
                    <w:rPr>
                      <w:rStyle w:val="47"/>
                    </w:rPr>
                    <w:t>--</w:t>
                  </w:r>
                </w:p>
              </w:tc>
              <w:tc>
                <w:tcPr>
                  <w:tcW w:w="1196" w:type="dxa"/>
                  <w:vAlign w:val="center"/>
                </w:tcPr>
                <w:p>
                  <w:pPr>
                    <w:pStyle w:val="167"/>
                    <w:rPr>
                      <w:rStyle w:val="47"/>
                    </w:rPr>
                  </w:pPr>
                  <w:r>
                    <w:t>900-999-99</w:t>
                  </w:r>
                </w:p>
              </w:tc>
              <w:tc>
                <w:tcPr>
                  <w:tcW w:w="2212" w:type="dxa"/>
                  <w:vMerge w:val="continue"/>
                  <w:vAlign w:val="center"/>
                </w:tcPr>
                <w:p>
                  <w:pPr>
                    <w:pStyle w:val="167"/>
                    <w:rPr>
                      <w:rStyle w:val="47"/>
                    </w:rPr>
                  </w:pPr>
                </w:p>
              </w:tc>
            </w:tr>
          </w:tbl>
          <w:p>
            <w:pPr>
              <w:pStyle w:val="164"/>
            </w:pPr>
            <w:r>
              <w:t>4、固体废物暂存及处置情况</w:t>
            </w:r>
          </w:p>
          <w:p>
            <w:pPr>
              <w:pStyle w:val="139"/>
              <w:ind w:firstLine="480"/>
            </w:pPr>
            <w:r>
              <w:t>a.一般工业固体废物</w:t>
            </w:r>
          </w:p>
          <w:p>
            <w:pPr>
              <w:pStyle w:val="139"/>
              <w:ind w:firstLine="480"/>
            </w:pPr>
            <w:r>
              <w:t>统一进行分类处置，除尘系统收集粉尘统一</w:t>
            </w:r>
            <w:r>
              <w:rPr>
                <w:lang w:bidi="en-US"/>
              </w:rPr>
              <w:t>收集后作为粉料回用于生产；</w:t>
            </w:r>
            <w:r>
              <w:t>滴漏沥青及拌合残渣统一收集后清运至云龙公路分局废料堆弃场堆存处置。</w:t>
            </w:r>
          </w:p>
          <w:p>
            <w:pPr>
              <w:pStyle w:val="139"/>
              <w:ind w:firstLine="480"/>
            </w:pPr>
            <w:r>
              <w:t>b.危险废物</w:t>
            </w:r>
          </w:p>
          <w:p>
            <w:pPr>
              <w:pStyle w:val="139"/>
              <w:ind w:firstLine="480"/>
            </w:pPr>
            <w:r>
              <w:t>新建1间5㎡的危险废物暂存间，暂存间内配套设置危险废物收集容器，废导热油、废润滑油、废活性炭分类暂存于危险废物暂存间，委托有资质的单位定期清运处置。危险废物暂存间建设标准执行《危险废物贮存污染控制标准》（GB18597-2023）的要求： 基础必须防渗，防渗层为2mm厚高密度聚乙烯，或至少2mm厚的其他人工材料，渗透系数≤10</w:t>
            </w:r>
            <w:r>
              <w:rPr>
                <w:vertAlign w:val="superscript"/>
              </w:rPr>
              <w:t>-10</w:t>
            </w:r>
            <w:r>
              <w:t>cm/s；并根据HJ1276-2022的要求设置危险废物标签。</w:t>
            </w:r>
          </w:p>
          <w:p>
            <w:pPr>
              <w:pStyle w:val="164"/>
            </w:pPr>
            <w:r>
              <w:t>5、固体废物贮存方式、利用处置方式、环境管理要求</w:t>
            </w:r>
          </w:p>
          <w:p>
            <w:pPr>
              <w:pStyle w:val="139"/>
              <w:ind w:firstLine="480"/>
            </w:pPr>
            <w:r>
              <w:t>（1）一般工业固废环境管理要求：建设单位应按照《一般工业固体废物贮存和填埋污染控制标准》（GB18599-2020）要求统一分类收集、利用处置一般工业固废，严禁危险废物和生活垃圾混入。</w:t>
            </w:r>
          </w:p>
          <w:p>
            <w:pPr>
              <w:pStyle w:val="139"/>
              <w:ind w:firstLine="480"/>
            </w:pPr>
            <w:r>
              <w:t>根据《中华人民共和国固体废物污染环境防治法》（2020修订），建设单位应当建立健全工业固体废物产生、收集、贮存、运输、利用、处置全过程的污染环境防治责任制度，建立工业固体废物管理台账，如实记录产生工业固体废物的种类、数量、流向、贮存、利用、处置等信息。委托他人运输、利用、处置工业固体废物的，应当对受托方的主体资格和技术能力进行核实，依法签订书面合同，在合同中约定污染防治要求。</w:t>
            </w:r>
          </w:p>
          <w:p>
            <w:pPr>
              <w:pStyle w:val="139"/>
              <w:ind w:firstLine="480"/>
            </w:pPr>
            <w:r>
              <w:t>（2）危险废物：根据《建设项目危险废物环境影响评价指南》（2017年）收集、临时贮存、运输、处置环境管理的具体要求如下：</w:t>
            </w:r>
          </w:p>
          <w:p>
            <w:pPr>
              <w:pStyle w:val="139"/>
              <w:ind w:firstLine="480"/>
            </w:pPr>
            <w:r>
              <w:fldChar w:fldCharType="begin"/>
            </w:r>
            <w:r>
              <w:instrText xml:space="preserve"> = 1 \* GB3 </w:instrText>
            </w:r>
            <w:r>
              <w:fldChar w:fldCharType="separate"/>
            </w:r>
            <w:r>
              <w:rPr>
                <w:rFonts w:hint="eastAsia" w:ascii="宋体" w:hAnsi="宋体" w:cs="宋体"/>
              </w:rPr>
              <w:t>①</w:t>
            </w:r>
            <w:r>
              <w:fldChar w:fldCharType="end"/>
            </w:r>
            <w:r>
              <w:t>收集、贮存</w:t>
            </w:r>
          </w:p>
          <w:p>
            <w:pPr>
              <w:pStyle w:val="139"/>
              <w:ind w:firstLine="480"/>
            </w:pPr>
            <w:r>
              <w:t>建设单位须根据废物特性设置符合</w:t>
            </w:r>
            <w:r>
              <w:rPr>
                <w:rStyle w:val="123"/>
              </w:rPr>
              <w:t>《危险废物贮存污染控制标准》（GB18597-2023）</w:t>
            </w:r>
            <w:r>
              <w:t>要求的危险废物暂存场所，且在暂存场所上空设有防雨淋设施，地面采取防渗措施，危险废物收集后分类分区存放于危险废物暂存间内；根据生产需要合理设置贮存量，尽量减少厂内的物料贮存量；严禁将危险废物混入生活垃圾。</w:t>
            </w:r>
          </w:p>
          <w:p>
            <w:pPr>
              <w:pStyle w:val="139"/>
              <w:ind w:firstLine="480"/>
            </w:pPr>
            <w:r>
              <w:fldChar w:fldCharType="begin"/>
            </w:r>
            <w:r>
              <w:instrText xml:space="preserve"> = 2 \* GB3 </w:instrText>
            </w:r>
            <w:r>
              <w:fldChar w:fldCharType="separate"/>
            </w:r>
            <w:r>
              <w:rPr>
                <w:rFonts w:hint="eastAsia" w:ascii="宋体" w:hAnsi="宋体" w:cs="宋体"/>
              </w:rPr>
              <w:t>②</w:t>
            </w:r>
            <w:r>
              <w:fldChar w:fldCharType="end"/>
            </w:r>
            <w:r>
              <w:t>运输</w:t>
            </w:r>
          </w:p>
          <w:p>
            <w:pPr>
              <w:pStyle w:val="139"/>
              <w:ind w:firstLine="480"/>
            </w:pPr>
            <w:r>
              <w:t>对危险废物的运输要求安全可靠，要严格按照危险废物运输的管理规定进行危险废物的运输，减少运输过程中的二次污染和可能造成的环境风险，运输车辆需有特殊标志。</w:t>
            </w:r>
          </w:p>
          <w:p>
            <w:pPr>
              <w:pStyle w:val="139"/>
              <w:ind w:firstLine="480"/>
            </w:pPr>
            <w:r>
              <w:fldChar w:fldCharType="begin"/>
            </w:r>
            <w:r>
              <w:instrText xml:space="preserve"> = 3 \* GB3 </w:instrText>
            </w:r>
            <w:r>
              <w:fldChar w:fldCharType="separate"/>
            </w:r>
            <w:r>
              <w:rPr>
                <w:rFonts w:hint="eastAsia" w:ascii="宋体" w:hAnsi="宋体" w:cs="宋体"/>
              </w:rPr>
              <w:t>③</w:t>
            </w:r>
            <w:r>
              <w:fldChar w:fldCharType="end"/>
            </w:r>
            <w:r>
              <w:t>处置</w:t>
            </w:r>
          </w:p>
          <w:p>
            <w:pPr>
              <w:pStyle w:val="139"/>
              <w:ind w:firstLine="480"/>
            </w:pPr>
            <w:r>
              <w:t>项目建成后将危险废物分类收集后暂存于危险废物暂存间内，委托具有相关资质的单位清运处置。</w:t>
            </w:r>
          </w:p>
          <w:p>
            <w:pPr>
              <w:pStyle w:val="139"/>
              <w:ind w:firstLine="480"/>
            </w:pPr>
            <w:r>
              <w:t>（4）环境管理要求</w:t>
            </w:r>
          </w:p>
          <w:p>
            <w:pPr>
              <w:pStyle w:val="139"/>
              <w:ind w:firstLine="480"/>
            </w:pPr>
            <w:r>
              <w:t>据HJ1276-2022的要求设置危险废物标签；建立、健全一般工业固体废物污染环境防治责任制度，采取以下措施防止造成环境污染；建立一般工业固体废物台账记录，应满足一般工业固体废物管理台账制定指南相关要求；分类收集后贮存应设置标识标签，注明拆解产物的名称、贮存时间、数量等信息；贮存过程应采取防止货物和包装损坏或泄漏。</w:t>
            </w:r>
          </w:p>
          <w:p>
            <w:pPr>
              <w:pStyle w:val="139"/>
              <w:ind w:firstLine="480"/>
            </w:pPr>
            <w:r>
              <w:t>建立、健全污染环境防治责任制度，制定危险废物管理计划和建立危险废物台账记录，转移危险废物时，应严格执行《危险废物转移管理办法》有关要求。</w:t>
            </w:r>
          </w:p>
          <w:p>
            <w:pPr>
              <w:pStyle w:val="111"/>
            </w:pPr>
            <w:r>
              <w:t>4.2.5土壤、地下水环境影响和保护措施</w:t>
            </w:r>
          </w:p>
          <w:p>
            <w:pPr>
              <w:pStyle w:val="139"/>
              <w:ind w:firstLine="480"/>
            </w:pPr>
            <w:r>
              <w:t>根据《环境影响评价技术导则 土壤环境（试行）》（HJ964-2018）附录A，本项目为“石墨及其他非金属矿物制品”中的IV类项目，项目总占地面积为2565㎡，占地为小型（≤5h㎡）；项目位于</w:t>
            </w:r>
            <w:r>
              <w:rPr>
                <w:rStyle w:val="123"/>
              </w:rPr>
              <w:t>大理白族自治州云龙县团结乡河南箐口</w:t>
            </w:r>
            <w:r>
              <w:t>，土壤环境环境敏感程度属于“不敏感”，根据评价工作等级划分表，本项目可不开展土壤环境影响评价工作。</w:t>
            </w:r>
          </w:p>
          <w:p>
            <w:pPr>
              <w:pStyle w:val="139"/>
              <w:ind w:firstLine="480"/>
            </w:pPr>
            <w:r>
              <w:t>根据《环境影响评价技术导则 地下水环境》（HI610-2016）附录A地下水环境影响评价行业分类表可知，本项目属于“J-非金属矿采选及制品制造：70 防水建筑材料制造、沥青拌合站”，地下水环境影响评价项目类别为IV类，地下水环境影响评价项目类别为IV类，IV类建设项目可不开展地下水环境影响评价。</w:t>
            </w:r>
          </w:p>
          <w:p>
            <w:pPr>
              <w:pStyle w:val="139"/>
              <w:ind w:firstLine="480"/>
            </w:pPr>
            <w:r>
              <w:t>根据现场调查，运营期沥青在储罐内存储过程中为液态，但暴露于常温下时呈凝固状态，不会四处溢流。结合实际生产情况，项目对地下水、土壤环境主要污染源为：导热油、柴油以及废矿物油。在事故状态下，导热油、柴油以及废矿物油泄漏进入土壤环境，将会对其造成污染；若泄漏量大或者长期未处理，则有可能造成下渗至地下水环境中，造成水质污染。</w:t>
            </w:r>
          </w:p>
          <w:p>
            <w:pPr>
              <w:pStyle w:val="164"/>
            </w:pPr>
            <w:r>
              <w:t>1、污染源分析</w:t>
            </w:r>
          </w:p>
          <w:p>
            <w:pPr>
              <w:pStyle w:val="139"/>
              <w:ind w:firstLine="480"/>
            </w:pPr>
            <w:r>
              <w:t>根据现场调查，本项目运营期正常工况下，不会产生地下水、土壤污染，只有在事故状态下，沥青在储罐内存储过程中为液态，但暴露于常温下时呈凝固状态，不会四处溢流，项目内导热油、柴油、废矿物油可能会发生泄漏等情况，可能对周边土壤造成污染，长时间泄漏可能深入地下对地下水造成污染。</w:t>
            </w:r>
          </w:p>
          <w:p>
            <w:pPr>
              <w:pStyle w:val="164"/>
            </w:pPr>
            <w:r>
              <w:t>2、污染物类型和污染途径识别</w:t>
            </w:r>
          </w:p>
          <w:p>
            <w:pPr>
              <w:pStyle w:val="139"/>
              <w:ind w:firstLine="480"/>
            </w:pPr>
            <w:r>
              <w:fldChar w:fldCharType="begin"/>
            </w:r>
            <w:r>
              <w:instrText xml:space="preserve"> = 1 \* GB3 \* MERGEFORMAT </w:instrText>
            </w:r>
            <w:r>
              <w:fldChar w:fldCharType="separate"/>
            </w:r>
            <w:r>
              <w:rPr>
                <w:rFonts w:hint="eastAsia" w:ascii="宋体" w:hAnsi="宋体" w:cs="宋体"/>
              </w:rPr>
              <w:t>①</w:t>
            </w:r>
            <w:r>
              <w:fldChar w:fldCharType="end"/>
            </w:r>
            <w:r>
              <w:t>土壤、地下水环境影响类型与影响途径识别</w:t>
            </w:r>
          </w:p>
          <w:p>
            <w:pPr>
              <w:pStyle w:val="139"/>
              <w:ind w:firstLine="480"/>
            </w:pPr>
            <w:r>
              <w:t>本项目对周边地下水、土壤环境影响的类型与影响途径见下表。</w:t>
            </w:r>
          </w:p>
          <w:p>
            <w:pPr>
              <w:pStyle w:val="168"/>
              <w:rPr>
                <w:rStyle w:val="47"/>
              </w:rPr>
            </w:pPr>
            <w:r>
              <w:rPr>
                <w:rStyle w:val="47"/>
              </w:rPr>
              <w:t>表4-8   项目土壤、地下水环境影响类型与影响途径识别表</w:t>
            </w:r>
          </w:p>
          <w:tbl>
            <w:tblPr>
              <w:tblStyle w:val="29"/>
              <w:tblW w:w="8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69" w:type="dxa"/>
                  <w:vMerge w:val="restart"/>
                  <w:vAlign w:val="center"/>
                </w:tcPr>
                <w:p>
                  <w:pPr>
                    <w:pStyle w:val="167"/>
                    <w:rPr>
                      <w:rStyle w:val="47"/>
                      <w:b/>
                    </w:rPr>
                  </w:pPr>
                  <w:r>
                    <w:rPr>
                      <w:rStyle w:val="47"/>
                      <w:b/>
                    </w:rPr>
                    <w:t>时段</w:t>
                  </w:r>
                </w:p>
              </w:tc>
              <w:tc>
                <w:tcPr>
                  <w:tcW w:w="6525" w:type="dxa"/>
                  <w:gridSpan w:val="4"/>
                  <w:vAlign w:val="center"/>
                </w:tcPr>
                <w:p>
                  <w:pPr>
                    <w:pStyle w:val="167"/>
                    <w:rPr>
                      <w:rStyle w:val="47"/>
                      <w:b/>
                    </w:rPr>
                  </w:pPr>
                  <w:r>
                    <w:rPr>
                      <w:rStyle w:val="47"/>
                      <w:b/>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continue"/>
                  <w:vAlign w:val="center"/>
                </w:tcPr>
                <w:p>
                  <w:pPr>
                    <w:pStyle w:val="167"/>
                    <w:rPr>
                      <w:rStyle w:val="47"/>
                      <w:bCs/>
                    </w:rPr>
                  </w:pPr>
                </w:p>
              </w:tc>
              <w:tc>
                <w:tcPr>
                  <w:tcW w:w="1484" w:type="dxa"/>
                  <w:vAlign w:val="center"/>
                </w:tcPr>
                <w:p>
                  <w:pPr>
                    <w:pStyle w:val="167"/>
                    <w:rPr>
                      <w:rStyle w:val="47"/>
                      <w:bCs/>
                    </w:rPr>
                  </w:pPr>
                  <w:r>
                    <w:rPr>
                      <w:rStyle w:val="47"/>
                    </w:rPr>
                    <w:t>大气沉降</w:t>
                  </w:r>
                </w:p>
              </w:tc>
              <w:tc>
                <w:tcPr>
                  <w:tcW w:w="1724" w:type="dxa"/>
                  <w:vAlign w:val="center"/>
                </w:tcPr>
                <w:p>
                  <w:pPr>
                    <w:pStyle w:val="167"/>
                    <w:rPr>
                      <w:rStyle w:val="47"/>
                      <w:bCs/>
                    </w:rPr>
                  </w:pPr>
                  <w:r>
                    <w:rPr>
                      <w:rStyle w:val="47"/>
                    </w:rPr>
                    <w:t>地面漫流</w:t>
                  </w:r>
                </w:p>
              </w:tc>
              <w:tc>
                <w:tcPr>
                  <w:tcW w:w="1760" w:type="dxa"/>
                  <w:vAlign w:val="center"/>
                </w:tcPr>
                <w:p>
                  <w:pPr>
                    <w:pStyle w:val="167"/>
                    <w:rPr>
                      <w:rStyle w:val="47"/>
                      <w:bCs/>
                    </w:rPr>
                  </w:pPr>
                  <w:r>
                    <w:rPr>
                      <w:rStyle w:val="47"/>
                    </w:rPr>
                    <w:t>垂直入渗</w:t>
                  </w:r>
                </w:p>
              </w:tc>
              <w:tc>
                <w:tcPr>
                  <w:tcW w:w="1557" w:type="dxa"/>
                  <w:vAlign w:val="center"/>
                </w:tcPr>
                <w:p>
                  <w:pPr>
                    <w:pStyle w:val="167"/>
                    <w:rPr>
                      <w:rStyle w:val="47"/>
                      <w:bCs/>
                    </w:rPr>
                  </w:pPr>
                  <w:r>
                    <w:rPr>
                      <w:rStyle w:val="47"/>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Align w:val="center"/>
                </w:tcPr>
                <w:p>
                  <w:pPr>
                    <w:pStyle w:val="167"/>
                    <w:rPr>
                      <w:rStyle w:val="47"/>
                      <w:bCs/>
                    </w:rPr>
                  </w:pPr>
                  <w:r>
                    <w:rPr>
                      <w:rStyle w:val="47"/>
                    </w:rPr>
                    <w:t>运营期</w:t>
                  </w:r>
                </w:p>
              </w:tc>
              <w:tc>
                <w:tcPr>
                  <w:tcW w:w="1484" w:type="dxa"/>
                  <w:vAlign w:val="center"/>
                </w:tcPr>
                <w:p>
                  <w:pPr>
                    <w:pStyle w:val="167"/>
                    <w:rPr>
                      <w:rStyle w:val="47"/>
                      <w:bCs/>
                    </w:rPr>
                  </w:pPr>
                  <w:r>
                    <w:rPr>
                      <w:rStyle w:val="47"/>
                    </w:rPr>
                    <w:t>√</w:t>
                  </w:r>
                </w:p>
              </w:tc>
              <w:tc>
                <w:tcPr>
                  <w:tcW w:w="1724" w:type="dxa"/>
                  <w:vAlign w:val="center"/>
                </w:tcPr>
                <w:p>
                  <w:pPr>
                    <w:pStyle w:val="167"/>
                    <w:rPr>
                      <w:rStyle w:val="47"/>
                      <w:bCs/>
                    </w:rPr>
                  </w:pPr>
                  <w:r>
                    <w:rPr>
                      <w:rStyle w:val="47"/>
                    </w:rPr>
                    <w:t>√</w:t>
                  </w:r>
                </w:p>
              </w:tc>
              <w:tc>
                <w:tcPr>
                  <w:tcW w:w="1760" w:type="dxa"/>
                  <w:vAlign w:val="center"/>
                </w:tcPr>
                <w:p>
                  <w:pPr>
                    <w:pStyle w:val="167"/>
                    <w:rPr>
                      <w:rStyle w:val="47"/>
                      <w:bCs/>
                    </w:rPr>
                  </w:pPr>
                  <w:r>
                    <w:rPr>
                      <w:rStyle w:val="47"/>
                    </w:rPr>
                    <w:t>√</w:t>
                  </w:r>
                </w:p>
              </w:tc>
              <w:tc>
                <w:tcPr>
                  <w:tcW w:w="1557" w:type="dxa"/>
                  <w:vAlign w:val="center"/>
                </w:tcPr>
                <w:p>
                  <w:pPr>
                    <w:pStyle w:val="167"/>
                    <w:rPr>
                      <w:rStyle w:val="47"/>
                      <w:bCs/>
                    </w:rPr>
                  </w:pPr>
                  <w:r>
                    <w:rPr>
                      <w:rStyle w:val="47"/>
                    </w:rPr>
                    <w:t>/</w:t>
                  </w:r>
                </w:p>
              </w:tc>
            </w:tr>
          </w:tbl>
          <w:p>
            <w:pPr>
              <w:pStyle w:val="139"/>
              <w:ind w:firstLine="480"/>
            </w:pPr>
            <w:r>
              <w:fldChar w:fldCharType="begin"/>
            </w:r>
            <w:r>
              <w:instrText xml:space="preserve"> = 2 \* GB3 \* MERGEFORMAT </w:instrText>
            </w:r>
            <w:r>
              <w:fldChar w:fldCharType="separate"/>
            </w:r>
            <w:r>
              <w:rPr>
                <w:rFonts w:hint="eastAsia" w:ascii="宋体" w:hAnsi="宋体" w:cs="宋体"/>
              </w:rPr>
              <w:t>②</w:t>
            </w:r>
            <w:r>
              <w:fldChar w:fldCharType="end"/>
            </w:r>
            <w:r>
              <w:t>土壤、地下水环境影响源及影响因子</w:t>
            </w:r>
          </w:p>
          <w:p>
            <w:pPr>
              <w:pStyle w:val="139"/>
              <w:ind w:firstLine="480"/>
            </w:pPr>
            <w:r>
              <w:t>项目对土壤、地下水环境的影响源及影响因子见下表。</w:t>
            </w:r>
          </w:p>
          <w:p>
            <w:pPr>
              <w:pStyle w:val="168"/>
              <w:rPr>
                <w:rStyle w:val="47"/>
              </w:rPr>
            </w:pPr>
            <w:r>
              <w:t>表4-9   项目土壤、地下水环境影</w:t>
            </w:r>
            <w:r>
              <w:rPr>
                <w:rStyle w:val="47"/>
              </w:rPr>
              <w:t>响源及影响因子识别表</w:t>
            </w:r>
          </w:p>
          <w:tbl>
            <w:tblPr>
              <w:tblStyle w:val="2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18"/>
              <w:gridCol w:w="1269"/>
              <w:gridCol w:w="1406"/>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367" w:type="dxa"/>
                  <w:vAlign w:val="center"/>
                </w:tcPr>
                <w:p>
                  <w:pPr>
                    <w:pStyle w:val="167"/>
                    <w:rPr>
                      <w:rStyle w:val="47"/>
                      <w:b/>
                    </w:rPr>
                  </w:pPr>
                  <w:r>
                    <w:rPr>
                      <w:rStyle w:val="47"/>
                      <w:b/>
                    </w:rPr>
                    <w:t>污染源</w:t>
                  </w:r>
                </w:p>
              </w:tc>
              <w:tc>
                <w:tcPr>
                  <w:tcW w:w="1618" w:type="dxa"/>
                  <w:vAlign w:val="center"/>
                </w:tcPr>
                <w:p>
                  <w:pPr>
                    <w:pStyle w:val="167"/>
                    <w:rPr>
                      <w:rStyle w:val="47"/>
                      <w:b/>
                    </w:rPr>
                  </w:pPr>
                  <w:r>
                    <w:rPr>
                      <w:rStyle w:val="47"/>
                      <w:b/>
                    </w:rPr>
                    <w:t>工艺流程/环节</w:t>
                  </w:r>
                </w:p>
              </w:tc>
              <w:tc>
                <w:tcPr>
                  <w:tcW w:w="1269" w:type="dxa"/>
                  <w:vAlign w:val="center"/>
                </w:tcPr>
                <w:p>
                  <w:pPr>
                    <w:pStyle w:val="167"/>
                    <w:rPr>
                      <w:rStyle w:val="47"/>
                      <w:b/>
                    </w:rPr>
                  </w:pPr>
                  <w:r>
                    <w:rPr>
                      <w:rStyle w:val="47"/>
                      <w:b/>
                    </w:rPr>
                    <w:t>污染途径</w:t>
                  </w:r>
                </w:p>
              </w:tc>
              <w:tc>
                <w:tcPr>
                  <w:tcW w:w="1406" w:type="dxa"/>
                  <w:vAlign w:val="center"/>
                </w:tcPr>
                <w:p>
                  <w:pPr>
                    <w:pStyle w:val="167"/>
                    <w:rPr>
                      <w:rStyle w:val="47"/>
                      <w:b/>
                    </w:rPr>
                  </w:pPr>
                  <w:r>
                    <w:rPr>
                      <w:rStyle w:val="47"/>
                      <w:b/>
                    </w:rPr>
                    <w:t>污染物</w:t>
                  </w:r>
                </w:p>
              </w:tc>
              <w:tc>
                <w:tcPr>
                  <w:tcW w:w="2800" w:type="dxa"/>
                  <w:vAlign w:val="center"/>
                </w:tcPr>
                <w:p>
                  <w:pPr>
                    <w:pStyle w:val="167"/>
                    <w:rPr>
                      <w:rStyle w:val="47"/>
                      <w:b/>
                    </w:rPr>
                  </w:pPr>
                  <w:r>
                    <w:rPr>
                      <w:rStyle w:val="47"/>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367" w:type="dxa"/>
                  <w:vAlign w:val="center"/>
                </w:tcPr>
                <w:p>
                  <w:pPr>
                    <w:pStyle w:val="167"/>
                    <w:rPr>
                      <w:rStyle w:val="47"/>
                      <w:b/>
                    </w:rPr>
                  </w:pPr>
                  <w:r>
                    <w:rPr>
                      <w:rStyle w:val="47"/>
                    </w:rPr>
                    <w:t>电加热沥青储罐</w:t>
                  </w:r>
                </w:p>
              </w:tc>
              <w:tc>
                <w:tcPr>
                  <w:tcW w:w="1618" w:type="dxa"/>
                  <w:vAlign w:val="center"/>
                </w:tcPr>
                <w:p>
                  <w:pPr>
                    <w:pStyle w:val="167"/>
                    <w:rPr>
                      <w:rStyle w:val="47"/>
                      <w:b/>
                    </w:rPr>
                  </w:pPr>
                  <w:r>
                    <w:rPr>
                      <w:rStyle w:val="47"/>
                    </w:rPr>
                    <w:t>采用导热油间接加热</w:t>
                  </w:r>
                </w:p>
              </w:tc>
              <w:tc>
                <w:tcPr>
                  <w:tcW w:w="1269" w:type="dxa"/>
                  <w:vAlign w:val="center"/>
                </w:tcPr>
                <w:p>
                  <w:pPr>
                    <w:pStyle w:val="167"/>
                    <w:rPr>
                      <w:rStyle w:val="47"/>
                      <w:b/>
                    </w:rPr>
                  </w:pPr>
                  <w:r>
                    <w:rPr>
                      <w:rStyle w:val="47"/>
                    </w:rPr>
                    <w:t>垂直入渗</w:t>
                  </w:r>
                </w:p>
              </w:tc>
              <w:tc>
                <w:tcPr>
                  <w:tcW w:w="1406" w:type="dxa"/>
                  <w:vAlign w:val="center"/>
                </w:tcPr>
                <w:p>
                  <w:pPr>
                    <w:pStyle w:val="167"/>
                    <w:rPr>
                      <w:rStyle w:val="47"/>
                    </w:rPr>
                  </w:pPr>
                  <w:r>
                    <w:rPr>
                      <w:rStyle w:val="47"/>
                    </w:rPr>
                    <w:t>导热油</w:t>
                  </w:r>
                </w:p>
              </w:tc>
              <w:tc>
                <w:tcPr>
                  <w:tcW w:w="2800" w:type="dxa"/>
                  <w:vAlign w:val="center"/>
                </w:tcPr>
                <w:p>
                  <w:pPr>
                    <w:pStyle w:val="167"/>
                    <w:rPr>
                      <w:rStyle w:val="47"/>
                      <w:b/>
                    </w:rPr>
                  </w:pPr>
                  <w:r>
                    <w:rPr>
                      <w:rStyle w:val="47"/>
                    </w:rPr>
                    <w:t>电加热沥青储罐损坏，</w:t>
                  </w:r>
                  <w:r>
                    <w:t>导热油</w:t>
                  </w:r>
                  <w:r>
                    <w:rPr>
                      <w:rStyle w:val="47"/>
                    </w:rPr>
                    <w:t>泄漏渗入土壤造成污染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7" w:type="dxa"/>
                  <w:vAlign w:val="center"/>
                </w:tcPr>
                <w:p>
                  <w:pPr>
                    <w:pStyle w:val="167"/>
                    <w:rPr>
                      <w:rStyle w:val="47"/>
                      <w:bCs/>
                    </w:rPr>
                  </w:pPr>
                  <w:r>
                    <w:rPr>
                      <w:rStyle w:val="47"/>
                    </w:rPr>
                    <w:t>柴油储罐</w:t>
                  </w:r>
                </w:p>
              </w:tc>
              <w:tc>
                <w:tcPr>
                  <w:tcW w:w="1618" w:type="dxa"/>
                  <w:vAlign w:val="center"/>
                </w:tcPr>
                <w:p>
                  <w:pPr>
                    <w:pStyle w:val="167"/>
                    <w:rPr>
                      <w:rStyle w:val="47"/>
                      <w:bCs/>
                    </w:rPr>
                  </w:pPr>
                  <w:r>
                    <w:rPr>
                      <w:rStyle w:val="47"/>
                    </w:rPr>
                    <w:t>柴油暂存</w:t>
                  </w:r>
                </w:p>
              </w:tc>
              <w:tc>
                <w:tcPr>
                  <w:tcW w:w="1269" w:type="dxa"/>
                  <w:vAlign w:val="center"/>
                </w:tcPr>
                <w:p>
                  <w:pPr>
                    <w:pStyle w:val="167"/>
                    <w:rPr>
                      <w:rStyle w:val="47"/>
                      <w:bCs/>
                    </w:rPr>
                  </w:pPr>
                  <w:r>
                    <w:rPr>
                      <w:rStyle w:val="47"/>
                    </w:rPr>
                    <w:t>垂直入渗</w:t>
                  </w:r>
                </w:p>
              </w:tc>
              <w:tc>
                <w:tcPr>
                  <w:tcW w:w="1406" w:type="dxa"/>
                  <w:vAlign w:val="center"/>
                </w:tcPr>
                <w:p>
                  <w:pPr>
                    <w:pStyle w:val="167"/>
                  </w:pPr>
                  <w:r>
                    <w:t>柴油</w:t>
                  </w:r>
                </w:p>
              </w:tc>
              <w:tc>
                <w:tcPr>
                  <w:tcW w:w="2800" w:type="dxa"/>
                  <w:vAlign w:val="center"/>
                </w:tcPr>
                <w:p>
                  <w:pPr>
                    <w:pStyle w:val="167"/>
                    <w:rPr>
                      <w:rStyle w:val="47"/>
                      <w:bCs/>
                    </w:rPr>
                  </w:pPr>
                  <w:r>
                    <w:rPr>
                      <w:rStyle w:val="47"/>
                    </w:rPr>
                    <w:t>柴油储罐损坏，</w:t>
                  </w:r>
                  <w:r>
                    <w:t>柴油</w:t>
                  </w:r>
                  <w:r>
                    <w:rPr>
                      <w:rStyle w:val="47"/>
                    </w:rPr>
                    <w:t>泄漏渗入土壤造成污染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7" w:type="dxa"/>
                  <w:vAlign w:val="center"/>
                </w:tcPr>
                <w:p>
                  <w:pPr>
                    <w:pStyle w:val="167"/>
                    <w:rPr>
                      <w:rStyle w:val="47"/>
                      <w:bCs/>
                    </w:rPr>
                  </w:pPr>
                  <w:r>
                    <w:rPr>
                      <w:rStyle w:val="47"/>
                    </w:rPr>
                    <w:t>危险废物暂存间</w:t>
                  </w:r>
                </w:p>
              </w:tc>
              <w:tc>
                <w:tcPr>
                  <w:tcW w:w="1618" w:type="dxa"/>
                  <w:vAlign w:val="center"/>
                </w:tcPr>
                <w:p>
                  <w:pPr>
                    <w:pStyle w:val="167"/>
                    <w:rPr>
                      <w:rStyle w:val="47"/>
                      <w:bCs/>
                    </w:rPr>
                  </w:pPr>
                  <w:r>
                    <w:rPr>
                      <w:rStyle w:val="47"/>
                    </w:rPr>
                    <w:t>危险废物暂存</w:t>
                  </w:r>
                </w:p>
              </w:tc>
              <w:tc>
                <w:tcPr>
                  <w:tcW w:w="1269" w:type="dxa"/>
                  <w:vAlign w:val="center"/>
                </w:tcPr>
                <w:p>
                  <w:pPr>
                    <w:pStyle w:val="167"/>
                    <w:rPr>
                      <w:rStyle w:val="47"/>
                      <w:bCs/>
                    </w:rPr>
                  </w:pPr>
                  <w:r>
                    <w:rPr>
                      <w:rStyle w:val="47"/>
                    </w:rPr>
                    <w:t>垂直入渗</w:t>
                  </w:r>
                </w:p>
              </w:tc>
              <w:tc>
                <w:tcPr>
                  <w:tcW w:w="1406" w:type="dxa"/>
                  <w:vAlign w:val="center"/>
                </w:tcPr>
                <w:p>
                  <w:pPr>
                    <w:pStyle w:val="167"/>
                    <w:rPr>
                      <w:rStyle w:val="47"/>
                      <w:bCs/>
                    </w:rPr>
                  </w:pPr>
                  <w:r>
                    <w:t>废导热油、废润滑油</w:t>
                  </w:r>
                </w:p>
              </w:tc>
              <w:tc>
                <w:tcPr>
                  <w:tcW w:w="2800" w:type="dxa"/>
                  <w:vAlign w:val="center"/>
                </w:tcPr>
                <w:p>
                  <w:pPr>
                    <w:pStyle w:val="167"/>
                    <w:rPr>
                      <w:rStyle w:val="47"/>
                      <w:bCs/>
                    </w:rPr>
                  </w:pPr>
                  <w:r>
                    <w:rPr>
                      <w:rStyle w:val="47"/>
                    </w:rPr>
                    <w:t>危废收集容器损坏，废矿物油泄漏渗入土壤造成污染</w:t>
                  </w:r>
                </w:p>
              </w:tc>
            </w:tr>
          </w:tbl>
          <w:p>
            <w:pPr>
              <w:pStyle w:val="164"/>
            </w:pPr>
            <w:r>
              <w:t>3、分区防控措施</w:t>
            </w:r>
          </w:p>
          <w:p>
            <w:pPr>
              <w:pStyle w:val="139"/>
              <w:ind w:firstLine="480"/>
            </w:pPr>
            <w:r>
              <w:t>根据《环境影响评价技术导则-地下水环境》（HJ610-2016），本项目分区防控措施根据建设项目场地天然气包气带防污性能、污染控制难易程度和污染物特性提出防渗技术要求，详见下表。</w:t>
            </w:r>
          </w:p>
          <w:p>
            <w:pPr>
              <w:pStyle w:val="168"/>
            </w:pPr>
            <w:r>
              <w:t>表4-10   污染控制难易程度分级参照表</w:t>
            </w:r>
          </w:p>
          <w:tbl>
            <w:tblPr>
              <w:tblStyle w:val="28"/>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shd w:val="clear" w:color="auto" w:fill="auto"/>
                  <w:vAlign w:val="center"/>
                </w:tcPr>
                <w:p>
                  <w:pPr>
                    <w:pStyle w:val="167"/>
                  </w:pPr>
                  <w:r>
                    <w:t>污染物控制难易程度</w:t>
                  </w:r>
                </w:p>
              </w:tc>
              <w:tc>
                <w:tcPr>
                  <w:tcW w:w="7039" w:type="dxa"/>
                  <w:shd w:val="clear" w:color="auto" w:fill="auto"/>
                  <w:vAlign w:val="center"/>
                </w:tcPr>
                <w:p>
                  <w:pPr>
                    <w:pStyle w:val="167"/>
                  </w:pPr>
                  <w: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shd w:val="clear" w:color="auto" w:fill="auto"/>
                  <w:vAlign w:val="center"/>
                </w:tcPr>
                <w:p>
                  <w:pPr>
                    <w:pStyle w:val="167"/>
                  </w:pPr>
                  <w:r>
                    <w:t>难</w:t>
                  </w:r>
                </w:p>
              </w:tc>
              <w:tc>
                <w:tcPr>
                  <w:tcW w:w="7039" w:type="dxa"/>
                  <w:shd w:val="clear" w:color="auto" w:fill="auto"/>
                  <w:vAlign w:val="center"/>
                </w:tcPr>
                <w:p>
                  <w:pPr>
                    <w:pStyle w:val="167"/>
                  </w:pPr>
                  <w: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shd w:val="clear" w:color="auto" w:fill="auto"/>
                  <w:vAlign w:val="center"/>
                </w:tcPr>
                <w:p>
                  <w:pPr>
                    <w:pStyle w:val="167"/>
                  </w:pPr>
                  <w:r>
                    <w:t>易</w:t>
                  </w:r>
                </w:p>
              </w:tc>
              <w:tc>
                <w:tcPr>
                  <w:tcW w:w="7039" w:type="dxa"/>
                  <w:shd w:val="clear" w:color="auto" w:fill="auto"/>
                  <w:vAlign w:val="center"/>
                </w:tcPr>
                <w:p>
                  <w:pPr>
                    <w:pStyle w:val="167"/>
                  </w:pPr>
                  <w:r>
                    <w:t>对地下水环境有污染的物料或污染物泄漏后，可及时发现和处理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1" w:type="dxa"/>
                  <w:shd w:val="clear" w:color="auto" w:fill="auto"/>
                  <w:vAlign w:val="center"/>
                </w:tcPr>
                <w:p>
                  <w:pPr>
                    <w:pStyle w:val="167"/>
                  </w:pPr>
                  <w:r>
                    <w:t>备注</w:t>
                  </w:r>
                </w:p>
              </w:tc>
              <w:tc>
                <w:tcPr>
                  <w:tcW w:w="7039" w:type="dxa"/>
                  <w:shd w:val="clear" w:color="auto" w:fill="auto"/>
                  <w:vAlign w:val="center"/>
                </w:tcPr>
                <w:p>
                  <w:pPr>
                    <w:pStyle w:val="167"/>
                  </w:pPr>
                  <w:r>
                    <w:t>本项目导热油、柴油、危险废物渗漏能够及时发现并处理，故本项目以上构筑物污染物控制难易程度为“易”</w:t>
                  </w:r>
                </w:p>
              </w:tc>
            </w:tr>
          </w:tbl>
          <w:p>
            <w:pPr>
              <w:pStyle w:val="168"/>
            </w:pPr>
            <w:r>
              <w:t>表4-11   天然包气带防污性能分级</w:t>
            </w:r>
          </w:p>
          <w:tbl>
            <w:tblPr>
              <w:tblStyle w:val="28"/>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shd w:val="clear" w:color="auto" w:fill="auto"/>
                  <w:vAlign w:val="center"/>
                </w:tcPr>
                <w:p>
                  <w:pPr>
                    <w:pStyle w:val="167"/>
                  </w:pPr>
                  <w:r>
                    <w:t>分级</w:t>
                  </w:r>
                </w:p>
              </w:tc>
              <w:tc>
                <w:tcPr>
                  <w:tcW w:w="7227" w:type="dxa"/>
                  <w:shd w:val="clear" w:color="auto" w:fill="auto"/>
                  <w:vAlign w:val="center"/>
                </w:tcPr>
                <w:p>
                  <w:pPr>
                    <w:pStyle w:val="167"/>
                  </w:pPr>
                  <w: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shd w:val="clear" w:color="auto" w:fill="auto"/>
                  <w:vAlign w:val="center"/>
                </w:tcPr>
                <w:p>
                  <w:pPr>
                    <w:pStyle w:val="167"/>
                  </w:pPr>
                  <w:r>
                    <w:t>强</w:t>
                  </w:r>
                </w:p>
              </w:tc>
              <w:tc>
                <w:tcPr>
                  <w:tcW w:w="7227" w:type="dxa"/>
                  <w:shd w:val="clear" w:color="auto" w:fill="auto"/>
                  <w:vAlign w:val="center"/>
                </w:tcPr>
                <w:p>
                  <w:pPr>
                    <w:pStyle w:val="167"/>
                  </w:pPr>
                  <w:r>
                    <w:t>岩（土）单层厚度Mb≥1.0m，渗透系数K≤10</w:t>
                  </w:r>
                  <w:r>
                    <w:rPr>
                      <w:vertAlign w:val="superscript"/>
                    </w:rPr>
                    <w:t>-6</w:t>
                  </w:r>
                  <w: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1233" w:type="dxa"/>
                  <w:shd w:val="clear" w:color="auto" w:fill="auto"/>
                  <w:vAlign w:val="center"/>
                </w:tcPr>
                <w:p>
                  <w:pPr>
                    <w:pStyle w:val="167"/>
                  </w:pPr>
                  <w:r>
                    <w:t>中</w:t>
                  </w:r>
                </w:p>
              </w:tc>
              <w:tc>
                <w:tcPr>
                  <w:tcW w:w="7227" w:type="dxa"/>
                  <w:shd w:val="clear" w:color="auto" w:fill="auto"/>
                  <w:vAlign w:val="center"/>
                </w:tcPr>
                <w:p>
                  <w:pPr>
                    <w:pStyle w:val="167"/>
                  </w:pPr>
                  <w:r>
                    <w:t>岩（土）单层厚度0.5m≤Mb＜1.0m，渗透系数K≤10</w:t>
                  </w:r>
                  <w:r>
                    <w:rPr>
                      <w:vertAlign w:val="superscript"/>
                    </w:rPr>
                    <w:t>-6</w:t>
                  </w:r>
                  <w:r>
                    <w:t>cm/s，且分布连续、稳定；岩（土）单层厚度Mb≥1.0m，渗透系数10</w:t>
                  </w:r>
                  <w:r>
                    <w:rPr>
                      <w:vertAlign w:val="superscript"/>
                    </w:rPr>
                    <w:t>-6</w:t>
                  </w:r>
                  <w:r>
                    <w:t>cm/s＜K≤10</w:t>
                  </w:r>
                  <w:r>
                    <w:rPr>
                      <w:vertAlign w:val="superscript"/>
                    </w:rPr>
                    <w:t>-4</w:t>
                  </w:r>
                  <w: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shd w:val="clear" w:color="auto" w:fill="auto"/>
                  <w:vAlign w:val="center"/>
                </w:tcPr>
                <w:p>
                  <w:pPr>
                    <w:pStyle w:val="167"/>
                  </w:pPr>
                  <w:r>
                    <w:t>弱</w:t>
                  </w:r>
                </w:p>
              </w:tc>
              <w:tc>
                <w:tcPr>
                  <w:tcW w:w="7227" w:type="dxa"/>
                  <w:shd w:val="clear" w:color="auto" w:fill="auto"/>
                  <w:vAlign w:val="center"/>
                </w:tcPr>
                <w:p>
                  <w:pPr>
                    <w:pStyle w:val="167"/>
                  </w:pPr>
                  <w: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shd w:val="clear" w:color="auto" w:fill="auto"/>
                  <w:vAlign w:val="center"/>
                </w:tcPr>
                <w:p>
                  <w:pPr>
                    <w:pStyle w:val="167"/>
                  </w:pPr>
                  <w:r>
                    <w:t>备注</w:t>
                  </w:r>
                </w:p>
              </w:tc>
              <w:tc>
                <w:tcPr>
                  <w:tcW w:w="7227" w:type="dxa"/>
                  <w:shd w:val="clear" w:color="auto" w:fill="auto"/>
                  <w:vAlign w:val="center"/>
                </w:tcPr>
                <w:p>
                  <w:pPr>
                    <w:pStyle w:val="167"/>
                  </w:pPr>
                  <w:r>
                    <w:t>项目区地下水类型主要为岩溶水，含水层岩性主要为灰岩或白云岩，综上确定包气带防污性能为“弱”</w:t>
                  </w:r>
                </w:p>
              </w:tc>
            </w:tr>
          </w:tbl>
          <w:p>
            <w:pPr>
              <w:pStyle w:val="168"/>
            </w:pPr>
            <w:r>
              <w:t>表4-12   地下水污染防渗分区参照</w:t>
            </w:r>
          </w:p>
          <w:tbl>
            <w:tblPr>
              <w:tblStyle w:val="28"/>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8"/>
              <w:gridCol w:w="1692"/>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376" w:type="dxa"/>
                  <w:shd w:val="clear" w:color="auto" w:fill="auto"/>
                  <w:vAlign w:val="center"/>
                </w:tcPr>
                <w:p>
                  <w:pPr>
                    <w:pStyle w:val="167"/>
                  </w:pPr>
                  <w:r>
                    <w:t>分区防渗</w:t>
                  </w:r>
                </w:p>
              </w:tc>
              <w:tc>
                <w:tcPr>
                  <w:tcW w:w="2008" w:type="dxa"/>
                  <w:shd w:val="clear" w:color="auto" w:fill="auto"/>
                  <w:vAlign w:val="center"/>
                </w:tcPr>
                <w:p>
                  <w:pPr>
                    <w:pStyle w:val="167"/>
                  </w:pPr>
                  <w:r>
                    <w:t>天然包气带防污性能</w:t>
                  </w:r>
                </w:p>
              </w:tc>
              <w:tc>
                <w:tcPr>
                  <w:tcW w:w="1692" w:type="dxa"/>
                  <w:shd w:val="clear" w:color="auto" w:fill="auto"/>
                  <w:vAlign w:val="center"/>
                </w:tcPr>
                <w:p>
                  <w:pPr>
                    <w:pStyle w:val="167"/>
                  </w:pPr>
                  <w:r>
                    <w:t>污染控制难易程度</w:t>
                  </w:r>
                </w:p>
              </w:tc>
              <w:tc>
                <w:tcPr>
                  <w:tcW w:w="1692" w:type="dxa"/>
                  <w:shd w:val="clear" w:color="auto" w:fill="auto"/>
                  <w:vAlign w:val="center"/>
                </w:tcPr>
                <w:p>
                  <w:pPr>
                    <w:pStyle w:val="167"/>
                  </w:pPr>
                  <w:r>
                    <w:t>污染物类型</w:t>
                  </w:r>
                </w:p>
              </w:tc>
              <w:tc>
                <w:tcPr>
                  <w:tcW w:w="1692" w:type="dxa"/>
                  <w:shd w:val="clear" w:color="auto" w:fill="auto"/>
                  <w:vAlign w:val="center"/>
                </w:tcPr>
                <w:p>
                  <w:pPr>
                    <w:pStyle w:val="167"/>
                  </w:pPr>
                  <w: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vMerge w:val="restart"/>
                  <w:shd w:val="clear" w:color="auto" w:fill="auto"/>
                  <w:vAlign w:val="center"/>
                </w:tcPr>
                <w:p>
                  <w:pPr>
                    <w:pStyle w:val="167"/>
                  </w:pPr>
                  <w:r>
                    <w:t>重点防渗区</w:t>
                  </w:r>
                </w:p>
              </w:tc>
              <w:tc>
                <w:tcPr>
                  <w:tcW w:w="2008" w:type="dxa"/>
                  <w:shd w:val="clear" w:color="auto" w:fill="auto"/>
                  <w:vAlign w:val="center"/>
                </w:tcPr>
                <w:p>
                  <w:pPr>
                    <w:pStyle w:val="167"/>
                  </w:pPr>
                  <w:r>
                    <w:t>弱</w:t>
                  </w:r>
                </w:p>
              </w:tc>
              <w:tc>
                <w:tcPr>
                  <w:tcW w:w="1692" w:type="dxa"/>
                  <w:shd w:val="clear" w:color="auto" w:fill="auto"/>
                  <w:vAlign w:val="center"/>
                </w:tcPr>
                <w:p>
                  <w:pPr>
                    <w:pStyle w:val="167"/>
                  </w:pPr>
                  <w:r>
                    <w:t>难</w:t>
                  </w:r>
                </w:p>
              </w:tc>
              <w:tc>
                <w:tcPr>
                  <w:tcW w:w="1692" w:type="dxa"/>
                  <w:vMerge w:val="restart"/>
                  <w:shd w:val="clear" w:color="auto" w:fill="auto"/>
                  <w:vAlign w:val="center"/>
                </w:tcPr>
                <w:p>
                  <w:pPr>
                    <w:pStyle w:val="167"/>
                  </w:pPr>
                  <w:r>
                    <w:t>重金属、持久性有机污染物</w:t>
                  </w:r>
                </w:p>
              </w:tc>
              <w:tc>
                <w:tcPr>
                  <w:tcW w:w="1692" w:type="dxa"/>
                  <w:vMerge w:val="restart"/>
                  <w:shd w:val="clear" w:color="auto" w:fill="auto"/>
                  <w:vAlign w:val="center"/>
                </w:tcPr>
                <w:p>
                  <w:pPr>
                    <w:pStyle w:val="167"/>
                  </w:pPr>
                  <w:r>
                    <w:t>等效黏土防渗层 Mb≥6.0m，K≤1×10</w:t>
                  </w:r>
                  <w:r>
                    <w:rPr>
                      <w:vertAlign w:val="superscript"/>
                    </w:rPr>
                    <w:t>-7</w:t>
                  </w:r>
                  <w:r>
                    <w:t>cm/s；或参照GB18597执行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vMerge w:val="continue"/>
                  <w:shd w:val="clear" w:color="auto" w:fill="auto"/>
                  <w:vAlign w:val="center"/>
                </w:tcPr>
                <w:p>
                  <w:pPr>
                    <w:pStyle w:val="167"/>
                  </w:pPr>
                </w:p>
              </w:tc>
              <w:tc>
                <w:tcPr>
                  <w:tcW w:w="2008" w:type="dxa"/>
                  <w:shd w:val="clear" w:color="auto" w:fill="auto"/>
                  <w:vAlign w:val="center"/>
                </w:tcPr>
                <w:p>
                  <w:pPr>
                    <w:pStyle w:val="167"/>
                  </w:pPr>
                  <w:r>
                    <w:t>中-强</w:t>
                  </w:r>
                </w:p>
              </w:tc>
              <w:tc>
                <w:tcPr>
                  <w:tcW w:w="1692" w:type="dxa"/>
                  <w:shd w:val="clear" w:color="auto" w:fill="auto"/>
                  <w:vAlign w:val="center"/>
                </w:tcPr>
                <w:p>
                  <w:pPr>
                    <w:pStyle w:val="167"/>
                  </w:pPr>
                  <w:r>
                    <w:t>难</w:t>
                  </w:r>
                </w:p>
              </w:tc>
              <w:tc>
                <w:tcPr>
                  <w:tcW w:w="1692" w:type="dxa"/>
                  <w:vMerge w:val="continue"/>
                  <w:shd w:val="clear" w:color="auto" w:fill="auto"/>
                  <w:vAlign w:val="center"/>
                </w:tcPr>
                <w:p>
                  <w:pPr>
                    <w:pStyle w:val="167"/>
                  </w:pPr>
                </w:p>
              </w:tc>
              <w:tc>
                <w:tcPr>
                  <w:tcW w:w="1692"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vMerge w:val="continue"/>
                  <w:shd w:val="clear" w:color="auto" w:fill="auto"/>
                  <w:vAlign w:val="center"/>
                </w:tcPr>
                <w:p>
                  <w:pPr>
                    <w:pStyle w:val="167"/>
                  </w:pPr>
                </w:p>
              </w:tc>
              <w:tc>
                <w:tcPr>
                  <w:tcW w:w="2008" w:type="dxa"/>
                  <w:shd w:val="clear" w:color="auto" w:fill="auto"/>
                  <w:vAlign w:val="center"/>
                </w:tcPr>
                <w:p>
                  <w:pPr>
                    <w:pStyle w:val="167"/>
                  </w:pPr>
                  <w:r>
                    <w:t>强</w:t>
                  </w:r>
                </w:p>
              </w:tc>
              <w:tc>
                <w:tcPr>
                  <w:tcW w:w="1692" w:type="dxa"/>
                  <w:shd w:val="clear" w:color="auto" w:fill="auto"/>
                  <w:vAlign w:val="center"/>
                </w:tcPr>
                <w:p>
                  <w:pPr>
                    <w:pStyle w:val="167"/>
                  </w:pPr>
                  <w:r>
                    <w:t>易</w:t>
                  </w:r>
                </w:p>
              </w:tc>
              <w:tc>
                <w:tcPr>
                  <w:tcW w:w="1692" w:type="dxa"/>
                  <w:vMerge w:val="continue"/>
                  <w:shd w:val="clear" w:color="auto" w:fill="auto"/>
                  <w:vAlign w:val="center"/>
                </w:tcPr>
                <w:p>
                  <w:pPr>
                    <w:pStyle w:val="167"/>
                  </w:pPr>
                </w:p>
              </w:tc>
              <w:tc>
                <w:tcPr>
                  <w:tcW w:w="1692"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vMerge w:val="restart"/>
                  <w:shd w:val="clear" w:color="auto" w:fill="auto"/>
                  <w:vAlign w:val="center"/>
                </w:tcPr>
                <w:p>
                  <w:pPr>
                    <w:pStyle w:val="167"/>
                  </w:pPr>
                  <w:r>
                    <w:t>一般防渗区</w:t>
                  </w:r>
                </w:p>
              </w:tc>
              <w:tc>
                <w:tcPr>
                  <w:tcW w:w="2008" w:type="dxa"/>
                  <w:shd w:val="clear" w:color="auto" w:fill="auto"/>
                  <w:vAlign w:val="center"/>
                </w:tcPr>
                <w:p>
                  <w:pPr>
                    <w:pStyle w:val="167"/>
                  </w:pPr>
                  <w:r>
                    <w:t>弱</w:t>
                  </w:r>
                </w:p>
              </w:tc>
              <w:tc>
                <w:tcPr>
                  <w:tcW w:w="1692" w:type="dxa"/>
                  <w:shd w:val="clear" w:color="auto" w:fill="auto"/>
                  <w:vAlign w:val="center"/>
                </w:tcPr>
                <w:p>
                  <w:pPr>
                    <w:pStyle w:val="167"/>
                  </w:pPr>
                  <w:r>
                    <w:t>易-难</w:t>
                  </w:r>
                </w:p>
              </w:tc>
              <w:tc>
                <w:tcPr>
                  <w:tcW w:w="1692" w:type="dxa"/>
                  <w:vMerge w:val="restart"/>
                  <w:shd w:val="clear" w:color="auto" w:fill="auto"/>
                  <w:vAlign w:val="center"/>
                </w:tcPr>
                <w:p>
                  <w:pPr>
                    <w:pStyle w:val="167"/>
                  </w:pPr>
                  <w:r>
                    <w:t>其他类型</w:t>
                  </w:r>
                </w:p>
              </w:tc>
              <w:tc>
                <w:tcPr>
                  <w:tcW w:w="1692" w:type="dxa"/>
                  <w:vMerge w:val="restart"/>
                  <w:shd w:val="clear" w:color="auto" w:fill="auto"/>
                  <w:vAlign w:val="center"/>
                </w:tcPr>
                <w:p>
                  <w:pPr>
                    <w:pStyle w:val="167"/>
                  </w:pPr>
                  <w:r>
                    <w:t>等效黏土防渗层 Mb≥1.5m，K≤1×10</w:t>
                  </w:r>
                  <w:r>
                    <w:rPr>
                      <w:vertAlign w:val="superscript"/>
                    </w:rPr>
                    <w:t>-7</w:t>
                  </w:r>
                  <w: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vMerge w:val="continue"/>
                  <w:shd w:val="clear" w:color="auto" w:fill="auto"/>
                  <w:vAlign w:val="center"/>
                </w:tcPr>
                <w:p>
                  <w:pPr>
                    <w:pStyle w:val="167"/>
                  </w:pPr>
                </w:p>
              </w:tc>
              <w:tc>
                <w:tcPr>
                  <w:tcW w:w="2008" w:type="dxa"/>
                  <w:shd w:val="clear" w:color="auto" w:fill="auto"/>
                  <w:vAlign w:val="center"/>
                </w:tcPr>
                <w:p>
                  <w:pPr>
                    <w:pStyle w:val="167"/>
                  </w:pPr>
                  <w:r>
                    <w:t>中-强</w:t>
                  </w:r>
                </w:p>
              </w:tc>
              <w:tc>
                <w:tcPr>
                  <w:tcW w:w="1692" w:type="dxa"/>
                  <w:shd w:val="clear" w:color="auto" w:fill="auto"/>
                  <w:vAlign w:val="center"/>
                </w:tcPr>
                <w:p>
                  <w:pPr>
                    <w:pStyle w:val="167"/>
                  </w:pPr>
                  <w:r>
                    <w:t>难</w:t>
                  </w:r>
                </w:p>
              </w:tc>
              <w:tc>
                <w:tcPr>
                  <w:tcW w:w="1692" w:type="dxa"/>
                  <w:vMerge w:val="continue"/>
                  <w:shd w:val="clear" w:color="auto" w:fill="auto"/>
                  <w:vAlign w:val="center"/>
                </w:tcPr>
                <w:p>
                  <w:pPr>
                    <w:pStyle w:val="167"/>
                  </w:pPr>
                </w:p>
              </w:tc>
              <w:tc>
                <w:tcPr>
                  <w:tcW w:w="1692"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vMerge w:val="continue"/>
                  <w:shd w:val="clear" w:color="auto" w:fill="auto"/>
                  <w:vAlign w:val="center"/>
                </w:tcPr>
                <w:p>
                  <w:pPr>
                    <w:pStyle w:val="167"/>
                  </w:pPr>
                </w:p>
              </w:tc>
              <w:tc>
                <w:tcPr>
                  <w:tcW w:w="2008" w:type="dxa"/>
                  <w:shd w:val="clear" w:color="auto" w:fill="auto"/>
                  <w:vAlign w:val="center"/>
                </w:tcPr>
                <w:p>
                  <w:pPr>
                    <w:pStyle w:val="167"/>
                  </w:pPr>
                  <w:r>
                    <w:t>中</w:t>
                  </w:r>
                </w:p>
              </w:tc>
              <w:tc>
                <w:tcPr>
                  <w:tcW w:w="1692" w:type="dxa"/>
                  <w:shd w:val="clear" w:color="auto" w:fill="auto"/>
                  <w:vAlign w:val="center"/>
                </w:tcPr>
                <w:p>
                  <w:pPr>
                    <w:pStyle w:val="167"/>
                  </w:pPr>
                  <w:r>
                    <w:t>易</w:t>
                  </w:r>
                </w:p>
              </w:tc>
              <w:tc>
                <w:tcPr>
                  <w:tcW w:w="1692" w:type="dxa"/>
                  <w:vMerge w:val="restart"/>
                  <w:shd w:val="clear" w:color="auto" w:fill="auto"/>
                  <w:vAlign w:val="center"/>
                </w:tcPr>
                <w:p>
                  <w:pPr>
                    <w:pStyle w:val="167"/>
                  </w:pPr>
                  <w:r>
                    <w:t>重金属、持久性有机污染物</w:t>
                  </w:r>
                </w:p>
              </w:tc>
              <w:tc>
                <w:tcPr>
                  <w:tcW w:w="1692"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vMerge w:val="continue"/>
                  <w:shd w:val="clear" w:color="auto" w:fill="auto"/>
                  <w:vAlign w:val="center"/>
                </w:tcPr>
                <w:p>
                  <w:pPr>
                    <w:pStyle w:val="167"/>
                  </w:pPr>
                </w:p>
              </w:tc>
              <w:tc>
                <w:tcPr>
                  <w:tcW w:w="2008" w:type="dxa"/>
                  <w:shd w:val="clear" w:color="auto" w:fill="auto"/>
                  <w:vAlign w:val="center"/>
                </w:tcPr>
                <w:p>
                  <w:pPr>
                    <w:pStyle w:val="167"/>
                  </w:pPr>
                  <w:r>
                    <w:t>强</w:t>
                  </w:r>
                </w:p>
              </w:tc>
              <w:tc>
                <w:tcPr>
                  <w:tcW w:w="1692" w:type="dxa"/>
                  <w:shd w:val="clear" w:color="auto" w:fill="auto"/>
                  <w:vAlign w:val="center"/>
                </w:tcPr>
                <w:p>
                  <w:pPr>
                    <w:pStyle w:val="167"/>
                  </w:pPr>
                  <w:r>
                    <w:t>易</w:t>
                  </w:r>
                </w:p>
              </w:tc>
              <w:tc>
                <w:tcPr>
                  <w:tcW w:w="1692" w:type="dxa"/>
                  <w:vMerge w:val="continue"/>
                  <w:shd w:val="clear" w:color="auto" w:fill="auto"/>
                  <w:vAlign w:val="center"/>
                </w:tcPr>
                <w:p>
                  <w:pPr>
                    <w:pStyle w:val="167"/>
                  </w:pPr>
                </w:p>
              </w:tc>
              <w:tc>
                <w:tcPr>
                  <w:tcW w:w="1692" w:type="dxa"/>
                  <w:vMerge w:val="continue"/>
                  <w:shd w:val="clear" w:color="auto" w:fill="auto"/>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shd w:val="clear" w:color="auto" w:fill="auto"/>
                  <w:vAlign w:val="center"/>
                </w:tcPr>
                <w:p>
                  <w:pPr>
                    <w:pStyle w:val="167"/>
                  </w:pPr>
                  <w:r>
                    <w:t>简单防渗区</w:t>
                  </w:r>
                </w:p>
              </w:tc>
              <w:tc>
                <w:tcPr>
                  <w:tcW w:w="2008" w:type="dxa"/>
                  <w:shd w:val="clear" w:color="auto" w:fill="auto"/>
                  <w:vAlign w:val="center"/>
                </w:tcPr>
                <w:p>
                  <w:pPr>
                    <w:pStyle w:val="167"/>
                  </w:pPr>
                  <w:r>
                    <w:t>中-强</w:t>
                  </w:r>
                </w:p>
              </w:tc>
              <w:tc>
                <w:tcPr>
                  <w:tcW w:w="1692" w:type="dxa"/>
                  <w:shd w:val="clear" w:color="auto" w:fill="auto"/>
                  <w:vAlign w:val="center"/>
                </w:tcPr>
                <w:p>
                  <w:pPr>
                    <w:pStyle w:val="167"/>
                  </w:pPr>
                  <w:r>
                    <w:t>易</w:t>
                  </w:r>
                </w:p>
              </w:tc>
              <w:tc>
                <w:tcPr>
                  <w:tcW w:w="1692" w:type="dxa"/>
                  <w:shd w:val="clear" w:color="auto" w:fill="auto"/>
                  <w:vAlign w:val="center"/>
                </w:tcPr>
                <w:p>
                  <w:pPr>
                    <w:pStyle w:val="167"/>
                  </w:pPr>
                  <w:r>
                    <w:t>其他类型</w:t>
                  </w:r>
                </w:p>
              </w:tc>
              <w:tc>
                <w:tcPr>
                  <w:tcW w:w="1692" w:type="dxa"/>
                  <w:shd w:val="clear" w:color="auto" w:fill="auto"/>
                  <w:vAlign w:val="center"/>
                </w:tcPr>
                <w:p>
                  <w:pPr>
                    <w:pStyle w:val="167"/>
                  </w:pPr>
                  <w:r>
                    <w:t>一般地面硬化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76" w:type="dxa"/>
                  <w:shd w:val="clear" w:color="auto" w:fill="auto"/>
                  <w:vAlign w:val="center"/>
                </w:tcPr>
                <w:p>
                  <w:pPr>
                    <w:pStyle w:val="167"/>
                  </w:pPr>
                  <w:r>
                    <w:t>备注</w:t>
                  </w:r>
                </w:p>
              </w:tc>
              <w:tc>
                <w:tcPr>
                  <w:tcW w:w="7084" w:type="dxa"/>
                  <w:gridSpan w:val="4"/>
                  <w:shd w:val="clear" w:color="auto" w:fill="auto"/>
                  <w:vAlign w:val="center"/>
                </w:tcPr>
                <w:p>
                  <w:pPr>
                    <w:pStyle w:val="167"/>
                  </w:pPr>
                  <w:r>
                    <w:t>项目不涉及重金属、持久性有机污染物，但本环评考虑到导热油、柴油存在量较大，建议</w:t>
                  </w:r>
                  <w:r>
                    <w:rPr>
                      <w:rStyle w:val="47"/>
                    </w:rPr>
                    <w:t>电加热沥青储罐区、柴油储罐区、</w:t>
                  </w:r>
                  <w:r>
                    <w:t>危险废物暂存间的防渗等级为“重点防渗区”</w:t>
                  </w:r>
                </w:p>
              </w:tc>
            </w:tr>
          </w:tbl>
          <w:p>
            <w:pPr>
              <w:pStyle w:val="139"/>
              <w:ind w:firstLine="480"/>
            </w:pPr>
            <w:r>
              <w:t>针对上述可能出现的污染环节，按照“源头控制、分区防控、污染监控、应急响应”的地下水环境保护原则，参照《环境影响评价技术导则-地下水环境》（HJ610-2016）厂区可划分为重点防渗区、一般防渗区和简单防渗区，危险废物暂存间防渗参照《危险废物贮存污染控制标准》（GB18597-2023）执行。</w:t>
            </w:r>
          </w:p>
          <w:p>
            <w:pPr>
              <w:pStyle w:val="164"/>
            </w:pPr>
            <w:r>
              <w:t>3.厂区具体防渗措施</w:t>
            </w:r>
          </w:p>
          <w:p>
            <w:pPr>
              <w:pStyle w:val="139"/>
              <w:ind w:firstLine="480"/>
            </w:pPr>
            <w:r>
              <w:t>本项目防渗措施及技术要求见下表。</w:t>
            </w:r>
          </w:p>
          <w:p>
            <w:pPr>
              <w:pStyle w:val="168"/>
            </w:pPr>
            <w:r>
              <w:t>表4-13   地下水污染防渗分区参照</w:t>
            </w:r>
          </w:p>
          <w:tbl>
            <w:tblPr>
              <w:tblStyle w:val="28"/>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44"/>
              <w:gridCol w:w="778"/>
              <w:gridCol w:w="1228"/>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0" w:type="dxa"/>
                  <w:shd w:val="clear" w:color="auto" w:fill="auto"/>
                  <w:vAlign w:val="center"/>
                </w:tcPr>
                <w:p>
                  <w:pPr>
                    <w:pStyle w:val="167"/>
                  </w:pPr>
                  <w:r>
                    <w:t>分区防渗</w:t>
                  </w:r>
                </w:p>
              </w:tc>
              <w:tc>
                <w:tcPr>
                  <w:tcW w:w="944" w:type="dxa"/>
                  <w:shd w:val="clear" w:color="auto" w:fill="auto"/>
                  <w:vAlign w:val="center"/>
                </w:tcPr>
                <w:p>
                  <w:pPr>
                    <w:pStyle w:val="167"/>
                  </w:pPr>
                  <w:r>
                    <w:t>装置或构筑物名称</w:t>
                  </w:r>
                </w:p>
              </w:tc>
              <w:tc>
                <w:tcPr>
                  <w:tcW w:w="778" w:type="dxa"/>
                  <w:shd w:val="clear" w:color="auto" w:fill="auto"/>
                  <w:vAlign w:val="center"/>
                </w:tcPr>
                <w:p>
                  <w:pPr>
                    <w:pStyle w:val="167"/>
                  </w:pPr>
                  <w:r>
                    <w:t>防渗区域</w:t>
                  </w:r>
                </w:p>
              </w:tc>
              <w:tc>
                <w:tcPr>
                  <w:tcW w:w="1228" w:type="dxa"/>
                  <w:shd w:val="clear" w:color="auto" w:fill="auto"/>
                  <w:vAlign w:val="center"/>
                </w:tcPr>
                <w:p>
                  <w:pPr>
                    <w:pStyle w:val="167"/>
                  </w:pPr>
                  <w:r>
                    <w:t>划分依据</w:t>
                  </w:r>
                </w:p>
              </w:tc>
              <w:tc>
                <w:tcPr>
                  <w:tcW w:w="4990" w:type="dxa"/>
                  <w:shd w:val="clear" w:color="auto" w:fill="auto"/>
                  <w:vAlign w:val="center"/>
                </w:tcPr>
                <w:p>
                  <w:pPr>
                    <w:pStyle w:val="167"/>
                  </w:pPr>
                  <w:r>
                    <w:t>防渗措施及技术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0" w:type="dxa"/>
                  <w:vMerge w:val="restart"/>
                  <w:shd w:val="clear" w:color="auto" w:fill="auto"/>
                  <w:vAlign w:val="center"/>
                </w:tcPr>
                <w:p>
                  <w:pPr>
                    <w:pStyle w:val="167"/>
                  </w:pPr>
                  <w:r>
                    <w:t>重点防渗区</w:t>
                  </w:r>
                </w:p>
              </w:tc>
              <w:tc>
                <w:tcPr>
                  <w:tcW w:w="944" w:type="dxa"/>
                  <w:shd w:val="clear" w:color="auto" w:fill="auto"/>
                  <w:vAlign w:val="center"/>
                </w:tcPr>
                <w:p>
                  <w:pPr>
                    <w:pStyle w:val="167"/>
                  </w:pPr>
                  <w:r>
                    <w:t>危险废物暂存间</w:t>
                  </w:r>
                </w:p>
              </w:tc>
              <w:tc>
                <w:tcPr>
                  <w:tcW w:w="778" w:type="dxa"/>
                  <w:vMerge w:val="restart"/>
                  <w:shd w:val="clear" w:color="auto" w:fill="auto"/>
                  <w:vAlign w:val="center"/>
                </w:tcPr>
                <w:p>
                  <w:pPr>
                    <w:pStyle w:val="167"/>
                  </w:pPr>
                  <w:r>
                    <w:t>地面、裙角、围堰</w:t>
                  </w:r>
                </w:p>
              </w:tc>
              <w:tc>
                <w:tcPr>
                  <w:tcW w:w="1228" w:type="dxa"/>
                  <w:vMerge w:val="restart"/>
                  <w:shd w:val="clear" w:color="auto" w:fill="auto"/>
                  <w:vAlign w:val="center"/>
                </w:tcPr>
                <w:p>
                  <w:pPr>
                    <w:pStyle w:val="167"/>
                  </w:pPr>
                  <w:r>
                    <w:t>涉及油类物质</w:t>
                  </w:r>
                </w:p>
              </w:tc>
              <w:tc>
                <w:tcPr>
                  <w:tcW w:w="4990" w:type="dxa"/>
                  <w:shd w:val="clear" w:color="auto" w:fill="auto"/>
                  <w:vAlign w:val="center"/>
                </w:tcPr>
                <w:p>
                  <w:pPr>
                    <w:pStyle w:val="167"/>
                  </w:pPr>
                  <w:r>
                    <w:t>危险废物暂存间地面与裙脚抗渗混凝土、高密度聚乙烯膜、钠基膨润土防水毯或其他防渗性能等效的材料；地面基础防渗，防渗层为至少1m厚黏层（渗透系数不大于10</w:t>
                  </w:r>
                  <w:r>
                    <w:rPr>
                      <w:vertAlign w:val="superscript"/>
                    </w:rPr>
                    <w:t>-7</w:t>
                  </w:r>
                  <w:r>
                    <w:t>cm/s），或采用至少2mm厚高密度聚乙烯膜等人工防渗材料（渗透系数不大于 10</w:t>
                  </w:r>
                  <w:r>
                    <w:rPr>
                      <w:vertAlign w:val="superscript"/>
                    </w:rPr>
                    <w:t>-10</w:t>
                  </w:r>
                  <w:r>
                    <w:t xml:space="preserve"> cm/s）或其他防渗性能等效的材料。或参照GB18597执行。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20" w:type="dxa"/>
                  <w:vMerge w:val="continue"/>
                  <w:shd w:val="clear" w:color="auto" w:fill="auto"/>
                  <w:vAlign w:val="center"/>
                </w:tcPr>
                <w:p>
                  <w:pPr>
                    <w:pStyle w:val="167"/>
                  </w:pPr>
                </w:p>
              </w:tc>
              <w:tc>
                <w:tcPr>
                  <w:tcW w:w="944" w:type="dxa"/>
                  <w:shd w:val="clear" w:color="auto" w:fill="auto"/>
                  <w:vAlign w:val="center"/>
                </w:tcPr>
                <w:p>
                  <w:pPr>
                    <w:pStyle w:val="167"/>
                  </w:pPr>
                  <w:r>
                    <w:t>柴油储罐区、沥青储罐区</w:t>
                  </w:r>
                </w:p>
              </w:tc>
              <w:tc>
                <w:tcPr>
                  <w:tcW w:w="778" w:type="dxa"/>
                  <w:vMerge w:val="continue"/>
                  <w:shd w:val="clear" w:color="auto" w:fill="auto"/>
                  <w:vAlign w:val="center"/>
                </w:tcPr>
                <w:p>
                  <w:pPr>
                    <w:pStyle w:val="167"/>
                  </w:pPr>
                </w:p>
              </w:tc>
              <w:tc>
                <w:tcPr>
                  <w:tcW w:w="1228" w:type="dxa"/>
                  <w:vMerge w:val="continue"/>
                  <w:shd w:val="clear" w:color="auto" w:fill="auto"/>
                  <w:vAlign w:val="center"/>
                </w:tcPr>
                <w:p>
                  <w:pPr>
                    <w:pStyle w:val="167"/>
                  </w:pPr>
                </w:p>
              </w:tc>
              <w:tc>
                <w:tcPr>
                  <w:tcW w:w="4990" w:type="dxa"/>
                  <w:shd w:val="clear" w:color="auto" w:fill="auto"/>
                  <w:vAlign w:val="center"/>
                </w:tcPr>
                <w:p>
                  <w:pPr>
                    <w:pStyle w:val="167"/>
                    <w:rPr>
                      <w:szCs w:val="21"/>
                    </w:rPr>
                  </w:pPr>
                  <w:r>
                    <w:rPr>
                      <w:szCs w:val="21"/>
                    </w:rPr>
                    <w:t>柴油储罐罐区设置长4m、宽2.5m、高0.6m，容积6m³（约5.22t）的围堰；沥青储罐区设置长15m、宽4m、高0.7m，容积42m³（约50.4t）的围堰；储罐区地面及围堰并采用耐磨、防腐、防渗的人工涂料进行防渗处置。防渗技术要求：等效黏土防渗层Mb≥6.0m，K≤1×10-7cm/s；或参照GB18597执行；同时储罐区还应做到防浸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520" w:type="dxa"/>
                  <w:shd w:val="clear" w:color="auto" w:fill="auto"/>
                  <w:vAlign w:val="center"/>
                </w:tcPr>
                <w:p>
                  <w:pPr>
                    <w:pStyle w:val="167"/>
                  </w:pPr>
                  <w:r>
                    <w:t>一般防渗区</w:t>
                  </w:r>
                </w:p>
              </w:tc>
              <w:tc>
                <w:tcPr>
                  <w:tcW w:w="944" w:type="dxa"/>
                  <w:shd w:val="clear" w:color="auto" w:fill="auto"/>
                  <w:vAlign w:val="center"/>
                </w:tcPr>
                <w:p>
                  <w:pPr>
                    <w:pStyle w:val="167"/>
                  </w:pPr>
                  <w:r>
                    <w:t>初期雨水收集池</w:t>
                  </w:r>
                </w:p>
              </w:tc>
              <w:tc>
                <w:tcPr>
                  <w:tcW w:w="778" w:type="dxa"/>
                  <w:shd w:val="clear" w:color="auto" w:fill="auto"/>
                  <w:vAlign w:val="center"/>
                </w:tcPr>
                <w:p>
                  <w:pPr>
                    <w:pStyle w:val="167"/>
                  </w:pPr>
                  <w:r>
                    <w:t>地面、裙角、池体</w:t>
                  </w:r>
                </w:p>
              </w:tc>
              <w:tc>
                <w:tcPr>
                  <w:tcW w:w="1228" w:type="dxa"/>
                  <w:shd w:val="clear" w:color="auto" w:fill="auto"/>
                  <w:vAlign w:val="center"/>
                </w:tcPr>
                <w:p>
                  <w:pPr>
                    <w:pStyle w:val="167"/>
                  </w:pPr>
                  <w:r>
                    <w:t>上述区域污染物主要为混杂在雨水中的SS、悬浮物、泥沙</w:t>
                  </w:r>
                </w:p>
              </w:tc>
              <w:tc>
                <w:tcPr>
                  <w:tcW w:w="4990" w:type="dxa"/>
                  <w:shd w:val="clear" w:color="auto" w:fill="auto"/>
                  <w:vAlign w:val="center"/>
                </w:tcPr>
                <w:p>
                  <w:pPr>
                    <w:pStyle w:val="167"/>
                    <w:rPr>
                      <w:szCs w:val="21"/>
                    </w:rPr>
                  </w:pPr>
                  <w:r>
                    <w:rPr>
                      <w:szCs w:val="21"/>
                    </w:rPr>
                    <w:t>采用高强度混凝土建设，结构厚度不应小于100mm，混凝土抗渗等级不应低于P6。防渗技术要求：等效黏土防渗层Mb&gt;1.5m，K≤1.0x10</w:t>
                  </w:r>
                  <w:r>
                    <w:rPr>
                      <w:szCs w:val="21"/>
                      <w:vertAlign w:val="superscript"/>
                    </w:rPr>
                    <w:t>-7</w:t>
                  </w:r>
                  <w:r>
                    <w:rPr>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0" w:type="dxa"/>
                  <w:shd w:val="clear" w:color="auto" w:fill="auto"/>
                  <w:vAlign w:val="center"/>
                </w:tcPr>
                <w:p>
                  <w:pPr>
                    <w:pStyle w:val="167"/>
                  </w:pPr>
                  <w:r>
                    <w:t>简单防渗区</w:t>
                  </w:r>
                </w:p>
              </w:tc>
              <w:tc>
                <w:tcPr>
                  <w:tcW w:w="944" w:type="dxa"/>
                  <w:shd w:val="clear" w:color="auto" w:fill="auto"/>
                  <w:vAlign w:val="center"/>
                </w:tcPr>
                <w:p>
                  <w:pPr>
                    <w:pStyle w:val="167"/>
                  </w:pPr>
                  <w:r>
                    <w:t>除了重点、一般防渗区以外的区域</w:t>
                  </w:r>
                </w:p>
              </w:tc>
              <w:tc>
                <w:tcPr>
                  <w:tcW w:w="778" w:type="dxa"/>
                  <w:shd w:val="clear" w:color="auto" w:fill="auto"/>
                  <w:vAlign w:val="center"/>
                </w:tcPr>
                <w:p>
                  <w:pPr>
                    <w:pStyle w:val="167"/>
                  </w:pPr>
                  <w:r>
                    <w:t>地面</w:t>
                  </w:r>
                </w:p>
              </w:tc>
              <w:tc>
                <w:tcPr>
                  <w:tcW w:w="1228" w:type="dxa"/>
                  <w:shd w:val="clear" w:color="auto" w:fill="auto"/>
                  <w:vAlign w:val="center"/>
                </w:tcPr>
                <w:p>
                  <w:pPr>
                    <w:pStyle w:val="167"/>
                  </w:pPr>
                  <w:r>
                    <w:t>其他</w:t>
                  </w:r>
                </w:p>
              </w:tc>
              <w:tc>
                <w:tcPr>
                  <w:tcW w:w="4990" w:type="dxa"/>
                  <w:shd w:val="clear" w:color="auto" w:fill="auto"/>
                  <w:vAlign w:val="center"/>
                </w:tcPr>
                <w:p>
                  <w:pPr>
                    <w:pStyle w:val="167"/>
                    <w:rPr>
                      <w:szCs w:val="21"/>
                    </w:rPr>
                  </w:pPr>
                  <w:r>
                    <w:rPr>
                      <w:szCs w:val="21"/>
                      <w:lang w:bidi="ar"/>
                    </w:rPr>
                    <w:t>除了重点、一般防渗区以外的区域进行简单硬化处理。</w:t>
                  </w:r>
                </w:p>
              </w:tc>
            </w:tr>
          </w:tbl>
          <w:p>
            <w:pPr>
              <w:pStyle w:val="108"/>
              <w:rPr>
                <w:color w:val="auto"/>
              </w:rPr>
            </w:pPr>
            <w:r>
              <w:rPr>
                <w:color w:val="auto"/>
              </w:rPr>
              <w:t>4.2.6生态环境影响和保护措施</w:t>
            </w:r>
          </w:p>
          <w:p>
            <w:pPr>
              <w:pStyle w:val="139"/>
              <w:ind w:firstLine="480"/>
            </w:pPr>
            <w:r>
              <w:t>本项目</w:t>
            </w:r>
            <w:r>
              <w:rPr>
                <w:rStyle w:val="115"/>
                <w:b w:val="0"/>
                <w:bCs w:val="0"/>
              </w:rPr>
              <w:t>位于</w:t>
            </w:r>
            <w:r>
              <w:t>大理白族自治州云龙县团结乡河南箐口，</w:t>
            </w:r>
            <w:r>
              <w:rPr>
                <w:szCs w:val="21"/>
              </w:rPr>
              <w:t>项目已于2016年5月建设完成并投入运营，本次评价为补办环保手续，项目用地为工业用地</w:t>
            </w:r>
            <w:r>
              <w:t>，不涉及新增用地。根据云龙县自然资源局出具的生态红线查询结果，本项目不涉及生态保护红线。根据现场踏勘，项目所在区域内已无原生植被存在，项目区西侧</w:t>
            </w:r>
            <w:r>
              <w:rPr>
                <w:szCs w:val="21"/>
              </w:rPr>
              <w:t>为云龙公路分局河南石料场公路养护配套改扩建项目，</w:t>
            </w:r>
            <w:r>
              <w:t>东侧为G215国道</w:t>
            </w:r>
            <w:r>
              <w:rPr>
                <w:szCs w:val="21"/>
              </w:rPr>
              <w:t>，</w:t>
            </w:r>
            <w:r>
              <w:t>南侧为山植被主要以云南松、野生灌木丛为主。受来往车辆、企业生产等人类活动的影响，区域野生动物种类较少，常见有麻雀、田鼠等小型野生动物。项目区范围内无国家级和省级保护动植物，也无重点保护古木名树和珍稀植物存在。</w:t>
            </w:r>
          </w:p>
          <w:p>
            <w:pPr>
              <w:pStyle w:val="139"/>
              <w:ind w:firstLine="480"/>
            </w:pPr>
            <w:r>
              <w:t>本项目运营期定期对生产设备及配套环保设施进行维护检修，安排专人负责环境管理工作，确保各污染物达标排放。综上，本项目对关坪河（顺濞河）水生生态环境及周边陆生生态环境影响较小。</w:t>
            </w:r>
          </w:p>
          <w:p>
            <w:pPr>
              <w:pStyle w:val="108"/>
              <w:rPr>
                <w:color w:val="auto"/>
              </w:rPr>
            </w:pPr>
            <w:r>
              <w:rPr>
                <w:color w:val="auto"/>
              </w:rPr>
              <w:t>4.2.7环境风险影响分析</w:t>
            </w:r>
          </w:p>
          <w:p>
            <w:pPr>
              <w:pStyle w:val="164"/>
            </w:pPr>
            <w:r>
              <w:t>1、环境风险分析的目的</w:t>
            </w:r>
          </w:p>
          <w:p>
            <w:pPr>
              <w:pStyle w:val="139"/>
              <w:ind w:firstLine="480"/>
            </w:pPr>
            <w:r>
              <w:t>环境风险分析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pStyle w:val="164"/>
            </w:pPr>
            <w:r>
              <w:t>2、风险识别</w:t>
            </w:r>
          </w:p>
          <w:p>
            <w:pPr>
              <w:pStyle w:val="139"/>
              <w:ind w:firstLine="440"/>
              <w:rPr>
                <w:spacing w:val="-10"/>
              </w:rPr>
            </w:pPr>
            <w:r>
              <w:rPr>
                <w:spacing w:val="-10"/>
              </w:rPr>
              <w:t>（1）</w:t>
            </w:r>
            <w:r>
              <w:t>建设项目风险源调查</w:t>
            </w:r>
          </w:p>
          <w:p>
            <w:pPr>
              <w:pStyle w:val="139"/>
              <w:ind w:firstLine="440"/>
              <w:rPr>
                <w:kern w:val="0"/>
              </w:rPr>
            </w:pPr>
            <w:r>
              <w:rPr>
                <w:spacing w:val="-10"/>
              </w:rPr>
              <w:t>根据《建设项目环境风险评价技术导则》</w:t>
            </w:r>
            <w:r>
              <w:rPr>
                <w:spacing w:val="-4"/>
              </w:rPr>
              <w:t>（HJ169-2018）</w:t>
            </w:r>
            <w:r>
              <w:rPr>
                <w:spacing w:val="-19"/>
              </w:rPr>
              <w:t xml:space="preserve">附录 </w:t>
            </w:r>
            <w:r>
              <w:t>B</w:t>
            </w:r>
            <w:r>
              <w:rPr>
                <w:spacing w:val="4"/>
              </w:rPr>
              <w:t xml:space="preserve"> </w:t>
            </w:r>
            <w:r>
              <w:rPr>
                <w:spacing w:val="-7"/>
              </w:rPr>
              <w:t>和《重大危险源辨识》</w:t>
            </w:r>
            <w:r>
              <w:t>（GB18218-2018），本项目风险物质为废矿物油（废导热油、润滑油、柴油）和沥青。其理化性质详见表4-14。</w:t>
            </w:r>
          </w:p>
          <w:p>
            <w:pPr>
              <w:pStyle w:val="168"/>
            </w:pPr>
            <w:r>
              <w:t>表4-14   矿物油理化性质及危险特性表</w:t>
            </w:r>
          </w:p>
          <w:tbl>
            <w:tblPr>
              <w:tblStyle w:val="28"/>
              <w:tblW w:w="829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789"/>
              <w:gridCol w:w="2455"/>
              <w:gridCol w:w="43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restart"/>
                  <w:vAlign w:val="center"/>
                </w:tcPr>
                <w:p>
                  <w:pPr>
                    <w:pStyle w:val="167"/>
                  </w:pPr>
                  <w:r>
                    <w:t>标识</w:t>
                  </w:r>
                </w:p>
              </w:tc>
              <w:tc>
                <w:tcPr>
                  <w:tcW w:w="7581" w:type="dxa"/>
                  <w:gridSpan w:val="3"/>
                  <w:vAlign w:val="center"/>
                </w:tcPr>
                <w:p>
                  <w:pPr>
                    <w:pStyle w:val="167"/>
                  </w:pPr>
                  <w:r>
                    <w:t>中文名：矿物油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581" w:type="dxa"/>
                  <w:gridSpan w:val="3"/>
                  <w:vAlign w:val="center"/>
                </w:tcPr>
                <w:p>
                  <w:pPr>
                    <w:pStyle w:val="167"/>
                  </w:pPr>
                  <w:r>
                    <w:t>英文名：</w:t>
                  </w:r>
                  <w:r>
                    <w:fldChar w:fldCharType="begin"/>
                  </w:r>
                  <w:r>
                    <w:instrText xml:space="preserve"> HYPERLINK "https://www.chemsrc.com/en/cas/8020-83-5_1198972.html" \t "https://www.chemsrc.com/cas/_blank" </w:instrText>
                  </w:r>
                  <w:r>
                    <w:fldChar w:fldCharType="separate"/>
                  </w:r>
                  <w:r>
                    <w:rPr>
                      <w:rStyle w:val="34"/>
                      <w:color w:val="auto"/>
                    </w:rPr>
                    <w:t>paraffin</w:t>
                  </w:r>
                  <w:r>
                    <w:rPr>
                      <w:rStyle w:val="34"/>
                      <w:color w:val="auto"/>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581" w:type="dxa"/>
                  <w:gridSpan w:val="3"/>
                  <w:vAlign w:val="center"/>
                </w:tcPr>
                <w:p>
                  <w:pPr>
                    <w:pStyle w:val="167"/>
                  </w:pPr>
                  <w:r>
                    <w:t>危险性类别：可燃液体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restart"/>
                  <w:vAlign w:val="center"/>
                </w:tcPr>
                <w:p>
                  <w:pPr>
                    <w:pStyle w:val="167"/>
                  </w:pPr>
                  <w:r>
                    <w:t>理化</w:t>
                  </w:r>
                </w:p>
                <w:p>
                  <w:pPr>
                    <w:pStyle w:val="167"/>
                  </w:pPr>
                  <w:r>
                    <w:t>性质</w:t>
                  </w:r>
                </w:p>
              </w:tc>
              <w:tc>
                <w:tcPr>
                  <w:tcW w:w="7581" w:type="dxa"/>
                  <w:gridSpan w:val="3"/>
                  <w:vAlign w:val="center"/>
                </w:tcPr>
                <w:p>
                  <w:pPr>
                    <w:pStyle w:val="167"/>
                  </w:pPr>
                  <w:r>
                    <w:t>外观与性状：</w:t>
                  </w:r>
                  <w:r>
                    <w:rPr>
                      <w:shd w:val="clear" w:color="auto" w:fill="FFFFFF"/>
                    </w:rPr>
                    <w:t>无色透明油状黏性液体，室温下无嗅无味或略带异味，对酸、热、光都很稳定</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3244" w:type="dxa"/>
                  <w:gridSpan w:val="2"/>
                  <w:vAlign w:val="center"/>
                </w:tcPr>
                <w:p>
                  <w:pPr>
                    <w:pStyle w:val="167"/>
                  </w:pPr>
                  <w:r>
                    <w:t>熔点（℃）：-</w:t>
                  </w:r>
                </w:p>
              </w:tc>
              <w:tc>
                <w:tcPr>
                  <w:tcW w:w="4337" w:type="dxa"/>
                  <w:vAlign w:val="center"/>
                </w:tcPr>
                <w:p>
                  <w:pPr>
                    <w:pStyle w:val="167"/>
                  </w:pPr>
                  <w:r>
                    <w:t>沸点（℃）：-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3244" w:type="dxa"/>
                  <w:gridSpan w:val="2"/>
                  <w:vAlign w:val="center"/>
                </w:tcPr>
                <w:p>
                  <w:pPr>
                    <w:pStyle w:val="167"/>
                  </w:pPr>
                  <w:r>
                    <w:t>临界温度（℃）：-</w:t>
                  </w:r>
                </w:p>
              </w:tc>
              <w:tc>
                <w:tcPr>
                  <w:tcW w:w="4337" w:type="dxa"/>
                  <w:vAlign w:val="center"/>
                </w:tcPr>
                <w:p>
                  <w:pPr>
                    <w:pStyle w:val="167"/>
                  </w:pPr>
                  <w:r>
                    <w:t>临界压力（MPa）：-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3244" w:type="dxa"/>
                  <w:gridSpan w:val="2"/>
                  <w:vAlign w:val="center"/>
                </w:tcPr>
                <w:p>
                  <w:pPr>
                    <w:pStyle w:val="167"/>
                  </w:pPr>
                  <w:r>
                    <w:t>饱和蒸气压（KPa）：-</w:t>
                  </w:r>
                </w:p>
              </w:tc>
              <w:tc>
                <w:tcPr>
                  <w:tcW w:w="4337" w:type="dxa"/>
                  <w:vAlign w:val="center"/>
                </w:tcPr>
                <w:p>
                  <w:pPr>
                    <w:pStyle w:val="167"/>
                  </w:pPr>
                  <w:r>
                    <w:t>燃烧热 （KJ／mol）：-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581" w:type="dxa"/>
                  <w:gridSpan w:val="3"/>
                  <w:vAlign w:val="center"/>
                </w:tcPr>
                <w:p>
                  <w:pPr>
                    <w:pStyle w:val="167"/>
                  </w:pPr>
                  <w:r>
                    <w:t>密度：0.85g/mLat 20°C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581" w:type="dxa"/>
                  <w:gridSpan w:val="3"/>
                  <w:vAlign w:val="center"/>
                </w:tcPr>
                <w:p>
                  <w:pPr>
                    <w:pStyle w:val="167"/>
                  </w:pPr>
                  <w:r>
                    <w:t>溶解性：</w:t>
                  </w:r>
                  <w:r>
                    <w:rPr>
                      <w:shd w:val="clear" w:color="auto" w:fill="FFFFFF"/>
                    </w:rPr>
                    <w:t>不溶于水、甘油、冷乙醇。溶于热乙醇、二硫化碳、乙醚、酯、氯仿、苯、石油醚。除蓖麻油外，与许多油脂和蜡都能混合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restart"/>
                  <w:vAlign w:val="center"/>
                </w:tcPr>
                <w:p>
                  <w:pPr>
                    <w:pStyle w:val="167"/>
                  </w:pPr>
                  <w:r>
                    <w:t>燃烧爆炸危险性</w:t>
                  </w:r>
                </w:p>
              </w:tc>
              <w:tc>
                <w:tcPr>
                  <w:tcW w:w="7581" w:type="dxa"/>
                  <w:gridSpan w:val="3"/>
                  <w:vAlign w:val="center"/>
                </w:tcPr>
                <w:p>
                  <w:pPr>
                    <w:pStyle w:val="167"/>
                  </w:pPr>
                  <w:r>
                    <w:t>燃烧性：本品可燃，具窒息性。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3244" w:type="dxa"/>
                  <w:gridSpan w:val="2"/>
                  <w:vAlign w:val="center"/>
                </w:tcPr>
                <w:p>
                  <w:pPr>
                    <w:pStyle w:val="167"/>
                  </w:pPr>
                  <w:r>
                    <w:t>引燃温度（℃）：300</w:t>
                  </w:r>
                </w:p>
              </w:tc>
              <w:tc>
                <w:tcPr>
                  <w:tcW w:w="4337" w:type="dxa"/>
                  <w:vAlign w:val="center"/>
                </w:tcPr>
                <w:p>
                  <w:pPr>
                    <w:pStyle w:val="167"/>
                  </w:pPr>
                  <w:r>
                    <w:t>闪点（℃）：220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3244" w:type="dxa"/>
                  <w:gridSpan w:val="2"/>
                  <w:vAlign w:val="center"/>
                </w:tcPr>
                <w:p>
                  <w:pPr>
                    <w:pStyle w:val="167"/>
                  </w:pPr>
                  <w:r>
                    <w:t>爆炸下限（%）：-</w:t>
                  </w:r>
                </w:p>
              </w:tc>
              <w:tc>
                <w:tcPr>
                  <w:tcW w:w="4337" w:type="dxa"/>
                  <w:vAlign w:val="center"/>
                </w:tcPr>
                <w:p>
                  <w:pPr>
                    <w:pStyle w:val="167"/>
                  </w:pPr>
                  <w:r>
                    <w:t>爆炸上限（%）：-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3244" w:type="dxa"/>
                  <w:gridSpan w:val="2"/>
                  <w:vAlign w:val="center"/>
                </w:tcPr>
                <w:p>
                  <w:pPr>
                    <w:pStyle w:val="167"/>
                  </w:pPr>
                  <w:r>
                    <w:t>最小点火能（mj）：-</w:t>
                  </w:r>
                </w:p>
              </w:tc>
              <w:tc>
                <w:tcPr>
                  <w:tcW w:w="4337" w:type="dxa"/>
                  <w:vAlign w:val="center"/>
                </w:tcPr>
                <w:p>
                  <w:pPr>
                    <w:pStyle w:val="167"/>
                  </w:pPr>
                  <w:r>
                    <w:t>最大爆炸压力（MPa）：-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89" w:type="dxa"/>
                  <w:vAlign w:val="center"/>
                </w:tcPr>
                <w:p>
                  <w:pPr>
                    <w:pStyle w:val="167"/>
                  </w:pPr>
                  <w:r>
                    <w:t>危险</w:t>
                  </w:r>
                </w:p>
                <w:p>
                  <w:pPr>
                    <w:pStyle w:val="167"/>
                  </w:pPr>
                  <w:r>
                    <w:t>特性</w:t>
                  </w:r>
                </w:p>
              </w:tc>
              <w:tc>
                <w:tcPr>
                  <w:tcW w:w="6792" w:type="dxa"/>
                  <w:gridSpan w:val="2"/>
                  <w:vAlign w:val="center"/>
                </w:tcPr>
                <w:p>
                  <w:pPr>
                    <w:pStyle w:val="167"/>
                  </w:pPr>
                  <w:r>
                    <w:t>遇明火、高热可燃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89" w:type="dxa"/>
                  <w:vAlign w:val="center"/>
                </w:tcPr>
                <w:p>
                  <w:pPr>
                    <w:pStyle w:val="167"/>
                  </w:pPr>
                  <w:r>
                    <w:t>禁配物</w:t>
                  </w:r>
                </w:p>
              </w:tc>
              <w:tc>
                <w:tcPr>
                  <w:tcW w:w="6792" w:type="dxa"/>
                  <w:gridSpan w:val="2"/>
                  <w:vAlign w:val="center"/>
                </w:tcPr>
                <w:p>
                  <w:pPr>
                    <w:pStyle w:val="167"/>
                  </w:pP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89" w:type="dxa"/>
                  <w:vAlign w:val="center"/>
                </w:tcPr>
                <w:p>
                  <w:pPr>
                    <w:pStyle w:val="167"/>
                  </w:pPr>
                  <w:r>
                    <w:t>消防</w:t>
                  </w:r>
                </w:p>
                <w:p>
                  <w:pPr>
                    <w:pStyle w:val="167"/>
                  </w:pPr>
                  <w:r>
                    <w:t>措施</w:t>
                  </w:r>
                </w:p>
              </w:tc>
              <w:tc>
                <w:tcPr>
                  <w:tcW w:w="6792" w:type="dxa"/>
                  <w:gridSpan w:val="2"/>
                  <w:vAlign w:val="center"/>
                </w:tcPr>
                <w:p>
                  <w:pPr>
                    <w:pStyle w:val="167"/>
                  </w:pPr>
                  <w:r>
                    <w:t>消防人员须佩戴防毒面具、身穿全身消防服，在上风险灭活。尽可能将容器从火场移至空旷处。喷水保持火场容器冷却，直至灭活结束。处在火场中的容器若已变色或从安全泄压装置中产生声音，必须马上撤离。</w:t>
                  </w:r>
                </w:p>
                <w:p>
                  <w:pPr>
                    <w:pStyle w:val="167"/>
                  </w:pPr>
                  <w:r>
                    <w:t>灭火剂：雾状水、泡沫、干粉、二氧化碳、砂土。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restart"/>
                  <w:vAlign w:val="center"/>
                </w:tcPr>
                <w:p>
                  <w:pPr>
                    <w:pStyle w:val="167"/>
                  </w:pPr>
                  <w:r>
                    <w:t>健康危害</w:t>
                  </w:r>
                </w:p>
              </w:tc>
              <w:tc>
                <w:tcPr>
                  <w:tcW w:w="789" w:type="dxa"/>
                  <w:vAlign w:val="center"/>
                </w:tcPr>
                <w:p>
                  <w:pPr>
                    <w:pStyle w:val="167"/>
                  </w:pPr>
                  <w:r>
                    <w:t>急性</w:t>
                  </w:r>
                </w:p>
                <w:p>
                  <w:pPr>
                    <w:pStyle w:val="167"/>
                  </w:pPr>
                  <w:r>
                    <w:t>毒性</w:t>
                  </w:r>
                </w:p>
              </w:tc>
              <w:tc>
                <w:tcPr>
                  <w:tcW w:w="6792" w:type="dxa"/>
                  <w:gridSpan w:val="2"/>
                  <w:vAlign w:val="center"/>
                </w:tcPr>
                <w:p>
                  <w:pPr>
                    <w:pStyle w:val="167"/>
                  </w:pPr>
                  <w:r>
                    <w:t>LD50 ：无资料。</w:t>
                  </w:r>
                </w:p>
                <w:p>
                  <w:pPr>
                    <w:pStyle w:val="167"/>
                  </w:pPr>
                  <w:r>
                    <w:t>LC50 ：无资料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89" w:type="dxa"/>
                  <w:vAlign w:val="center"/>
                </w:tcPr>
                <w:p>
                  <w:pPr>
                    <w:pStyle w:val="167"/>
                  </w:pPr>
                  <w:r>
                    <w:t>毒性</w:t>
                  </w:r>
                </w:p>
              </w:tc>
              <w:tc>
                <w:tcPr>
                  <w:tcW w:w="6792" w:type="dxa"/>
                  <w:gridSpan w:val="2"/>
                  <w:vAlign w:val="center"/>
                </w:tcPr>
                <w:p>
                  <w:pPr>
                    <w:pStyle w:val="167"/>
                  </w:pPr>
                  <w:r>
                    <w:t>无资料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89" w:type="dxa"/>
                  <w:vAlign w:val="center"/>
                </w:tcPr>
                <w:p>
                  <w:pPr>
                    <w:pStyle w:val="167"/>
                  </w:pPr>
                  <w:r>
                    <w:t>健康</w:t>
                  </w:r>
                </w:p>
                <w:p>
                  <w:pPr>
                    <w:pStyle w:val="167"/>
                  </w:pPr>
                  <w:r>
                    <w:t>危害</w:t>
                  </w:r>
                </w:p>
              </w:tc>
              <w:tc>
                <w:tcPr>
                  <w:tcW w:w="6792" w:type="dxa"/>
                  <w:gridSpan w:val="2"/>
                  <w:vAlign w:val="center"/>
                </w:tcPr>
                <w:p>
                  <w:pPr>
                    <w:pStyle w:val="167"/>
                  </w:pPr>
                  <w:r>
                    <w:t>侵入途径：吸入、食入；</w:t>
                  </w:r>
                </w:p>
                <w:p>
                  <w:pPr>
                    <w:pStyle w:val="167"/>
                  </w:pPr>
                  <w:r>
                    <w:t>急性吸入，可出现乏力、头晕、头痛、恶心，严重者可引起油脂性肺炎。慢接触者，暴露部位可发生油性痤疮和接触性皮炎。可引起神经衰弱综合症，呼吸道和眼刺激症状及慢性油脂性肺炎。有资料报告，接触石油润滑油类的工人，有致癌的病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89" w:type="dxa"/>
                  <w:vAlign w:val="center"/>
                </w:tcPr>
                <w:p>
                  <w:pPr>
                    <w:pStyle w:val="167"/>
                  </w:pPr>
                  <w:r>
                    <w:t>防护</w:t>
                  </w:r>
                </w:p>
              </w:tc>
              <w:tc>
                <w:tcPr>
                  <w:tcW w:w="6792" w:type="dxa"/>
                  <w:gridSpan w:val="2"/>
                  <w:vAlign w:val="center"/>
                </w:tcPr>
                <w:p>
                  <w:pPr>
                    <w:pStyle w:val="167"/>
                  </w:pPr>
                  <w:r>
                    <w:t>工程控制：密闭操作，注意通风；</w:t>
                  </w:r>
                </w:p>
                <w:p>
                  <w:pPr>
                    <w:pStyle w:val="167"/>
                  </w:pPr>
                  <w:r>
                    <w:t>呼吸系统防护：空气中浓度超标时，建议佩戴自吸过滤式防毒面具（半面罩）。紧急事态抢救或撤离时，应该佩戴空气呼吸器。</w:t>
                  </w:r>
                </w:p>
                <w:p>
                  <w:pPr>
                    <w:pStyle w:val="167"/>
                  </w:pPr>
                  <w:r>
                    <w:t>眼睛防护：戴化学安全防护眼镜。</w:t>
                  </w:r>
                </w:p>
                <w:p>
                  <w:pPr>
                    <w:pStyle w:val="167"/>
                  </w:pPr>
                  <w:r>
                    <w:t>身体防护：穿防毒物渗透工作服；</w:t>
                  </w:r>
                </w:p>
                <w:p>
                  <w:pPr>
                    <w:pStyle w:val="167"/>
                  </w:pPr>
                  <w:r>
                    <w:t>手防护：戴橡胶耐油手套；</w:t>
                  </w:r>
                </w:p>
                <w:p>
                  <w:pPr>
                    <w:pStyle w:val="167"/>
                  </w:pPr>
                  <w:r>
                    <w:t>其他：工作现场禁止吸烟。避免长期反复接触。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Merge w:val="continue"/>
                  <w:vAlign w:val="center"/>
                </w:tcPr>
                <w:p>
                  <w:pPr>
                    <w:pStyle w:val="167"/>
                  </w:pPr>
                </w:p>
              </w:tc>
              <w:tc>
                <w:tcPr>
                  <w:tcW w:w="789" w:type="dxa"/>
                  <w:vAlign w:val="center"/>
                </w:tcPr>
                <w:p>
                  <w:pPr>
                    <w:pStyle w:val="167"/>
                  </w:pPr>
                  <w:r>
                    <w:t>急救</w:t>
                  </w:r>
                </w:p>
                <w:p>
                  <w:pPr>
                    <w:pStyle w:val="167"/>
                  </w:pPr>
                  <w:r>
                    <w:t>措施</w:t>
                  </w:r>
                </w:p>
              </w:tc>
              <w:tc>
                <w:tcPr>
                  <w:tcW w:w="6792" w:type="dxa"/>
                  <w:gridSpan w:val="2"/>
                  <w:vAlign w:val="center"/>
                </w:tcPr>
                <w:p>
                  <w:pPr>
                    <w:pStyle w:val="167"/>
                  </w:pPr>
                  <w:r>
                    <w:t>皮肤接触：立即脱去被污染的衣着，用大量清水冲洗；</w:t>
                  </w:r>
                </w:p>
                <w:p>
                  <w:pPr>
                    <w:pStyle w:val="167"/>
                  </w:pPr>
                  <w:r>
                    <w:t>眼镜接触：立即提起眼睑，用大量流动清水或生理盐水冲洗，就医；</w:t>
                  </w:r>
                </w:p>
                <w:p>
                  <w:pPr>
                    <w:pStyle w:val="167"/>
                  </w:pPr>
                  <w:r>
                    <w:t>吸入：迅速脱离现场至空气新鲜处，保持呼吸道通畅，如呼吸困难，给输氧；如呼吸停止，立即进行人工呼吸，就医；</w:t>
                  </w:r>
                </w:p>
                <w:p>
                  <w:pPr>
                    <w:pStyle w:val="167"/>
                  </w:pPr>
                  <w:r>
                    <w:t>食入：饮足量温水，催吐，就医。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10" w:type="dxa"/>
                  <w:vAlign w:val="center"/>
                </w:tcPr>
                <w:p>
                  <w:pPr>
                    <w:pStyle w:val="167"/>
                  </w:pPr>
                  <w:r>
                    <w:t>泄漏应急处理</w:t>
                  </w:r>
                </w:p>
              </w:tc>
              <w:tc>
                <w:tcPr>
                  <w:tcW w:w="7581" w:type="dxa"/>
                  <w:gridSpan w:val="3"/>
                  <w:vAlign w:val="center"/>
                </w:tcPr>
                <w:p>
                  <w:pPr>
                    <w:pStyle w:val="167"/>
                    <w:rPr>
                      <w:szCs w:val="21"/>
                    </w:rPr>
                  </w:pPr>
                  <w:r>
                    <w:rPr>
                      <w:szCs w:val="21"/>
                    </w:rPr>
                    <w:t>迅速撤离泄漏污染区人员至安全区，并进行隔离，严格限制出入。切断火源。建议应急处理人员戴自给正压式呼吸器，穿防毒服。尽可能切断泄漏源。防治流入下水道、排洪沟等限制性空间。</w:t>
                  </w:r>
                </w:p>
                <w:p>
                  <w:pPr>
                    <w:pStyle w:val="167"/>
                    <w:rPr>
                      <w:szCs w:val="21"/>
                    </w:rPr>
                  </w:pPr>
                  <w:r>
                    <w:rPr>
                      <w:szCs w:val="21"/>
                    </w:rPr>
                    <w:t>小量泄漏：用砂土或其他不燃材料吸附或吸收。</w:t>
                  </w:r>
                </w:p>
                <w:p>
                  <w:pPr>
                    <w:pStyle w:val="167"/>
                    <w:rPr>
                      <w:szCs w:val="21"/>
                    </w:rPr>
                  </w:pPr>
                  <w:r>
                    <w:rPr>
                      <w:szCs w:val="21"/>
                    </w:rPr>
                    <w:t>大量泄漏：构筑位堤或挖坑收容。用泵转移至槽车或专用收集器内，回收或运至废物处理场所处置</w:t>
                  </w:r>
                </w:p>
              </w:tc>
            </w:tr>
          </w:tbl>
          <w:p>
            <w:pPr>
              <w:pStyle w:val="168"/>
            </w:pPr>
            <w:r>
              <w:t>表4-15   沥青理化性质及危险特性表</w:t>
            </w:r>
          </w:p>
          <w:tbl>
            <w:tblPr>
              <w:tblStyle w:val="28"/>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24"/>
              <w:gridCol w:w="723"/>
              <w:gridCol w:w="2686"/>
              <w:gridCol w:w="916"/>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924" w:type="dxa"/>
                  <w:gridSpan w:val="6"/>
                  <w:shd w:val="clear" w:color="auto" w:fill="auto"/>
                  <w:vAlign w:val="center"/>
                </w:tcPr>
                <w:p>
                  <w:pPr>
                    <w:pStyle w:val="167"/>
                  </w:pPr>
                  <w:r>
                    <w:t>理化性质及危险有害因素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50" w:type="dxa"/>
                  <w:gridSpan w:val="2"/>
                  <w:vMerge w:val="restart"/>
                  <w:shd w:val="clear" w:color="auto" w:fill="auto"/>
                  <w:vAlign w:val="center"/>
                </w:tcPr>
                <w:p>
                  <w:pPr>
                    <w:pStyle w:val="167"/>
                  </w:pPr>
                  <w:r>
                    <w:t>标识</w:t>
                  </w:r>
                </w:p>
              </w:tc>
              <w:tc>
                <w:tcPr>
                  <w:tcW w:w="723" w:type="dxa"/>
                  <w:shd w:val="clear" w:color="auto" w:fill="auto"/>
                  <w:vAlign w:val="center"/>
                </w:tcPr>
                <w:p>
                  <w:pPr>
                    <w:pStyle w:val="167"/>
                  </w:pPr>
                  <w:r>
                    <w:t>中文名</w:t>
                  </w:r>
                </w:p>
              </w:tc>
              <w:tc>
                <w:tcPr>
                  <w:tcW w:w="2686" w:type="dxa"/>
                  <w:shd w:val="clear" w:color="auto" w:fill="auto"/>
                  <w:vAlign w:val="center"/>
                </w:tcPr>
                <w:p>
                  <w:pPr>
                    <w:pStyle w:val="167"/>
                  </w:pPr>
                  <w:r>
                    <w:t>沥青</w:t>
                  </w:r>
                </w:p>
              </w:tc>
              <w:tc>
                <w:tcPr>
                  <w:tcW w:w="916" w:type="dxa"/>
                  <w:shd w:val="clear" w:color="auto" w:fill="auto"/>
                  <w:vAlign w:val="center"/>
                </w:tcPr>
                <w:p>
                  <w:pPr>
                    <w:pStyle w:val="167"/>
                  </w:pPr>
                  <w:r>
                    <w:t>分子式</w:t>
                  </w:r>
                </w:p>
              </w:tc>
              <w:tc>
                <w:tcPr>
                  <w:tcW w:w="2349" w:type="dxa"/>
                  <w:shd w:val="clear" w:color="auto" w:fill="auto"/>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50" w:type="dxa"/>
                  <w:gridSpan w:val="2"/>
                  <w:vMerge w:val="continue"/>
                  <w:shd w:val="clear" w:color="auto" w:fill="auto"/>
                  <w:vAlign w:val="center"/>
                </w:tcPr>
                <w:p>
                  <w:pPr>
                    <w:pStyle w:val="167"/>
                  </w:pPr>
                </w:p>
              </w:tc>
              <w:tc>
                <w:tcPr>
                  <w:tcW w:w="723" w:type="dxa"/>
                  <w:shd w:val="clear" w:color="auto" w:fill="auto"/>
                  <w:vAlign w:val="center"/>
                </w:tcPr>
                <w:p>
                  <w:pPr>
                    <w:pStyle w:val="167"/>
                  </w:pPr>
                  <w:r>
                    <w:t>英文名</w:t>
                  </w:r>
                </w:p>
              </w:tc>
              <w:tc>
                <w:tcPr>
                  <w:tcW w:w="2686" w:type="dxa"/>
                  <w:shd w:val="clear" w:color="auto" w:fill="auto"/>
                  <w:vAlign w:val="center"/>
                </w:tcPr>
                <w:p>
                  <w:pPr>
                    <w:pStyle w:val="167"/>
                  </w:pPr>
                  <w:r>
                    <w:t>Dsphaltbi tuen；</w:t>
                  </w:r>
                </w:p>
              </w:tc>
              <w:tc>
                <w:tcPr>
                  <w:tcW w:w="916" w:type="dxa"/>
                  <w:shd w:val="clear" w:color="auto" w:fill="auto"/>
                  <w:vAlign w:val="center"/>
                </w:tcPr>
                <w:p>
                  <w:pPr>
                    <w:pStyle w:val="167"/>
                  </w:pPr>
                  <w:r>
                    <w:t>分子量</w:t>
                  </w:r>
                </w:p>
              </w:tc>
              <w:tc>
                <w:tcPr>
                  <w:tcW w:w="2349" w:type="dxa"/>
                  <w:shd w:val="clear" w:color="auto" w:fill="auto"/>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50" w:type="dxa"/>
                  <w:gridSpan w:val="2"/>
                  <w:vMerge w:val="continue"/>
                  <w:shd w:val="clear" w:color="auto" w:fill="auto"/>
                  <w:vAlign w:val="center"/>
                </w:tcPr>
                <w:p>
                  <w:pPr>
                    <w:pStyle w:val="167"/>
                  </w:pPr>
                </w:p>
              </w:tc>
              <w:tc>
                <w:tcPr>
                  <w:tcW w:w="723" w:type="dxa"/>
                  <w:shd w:val="clear" w:color="auto" w:fill="auto"/>
                  <w:vAlign w:val="center"/>
                </w:tcPr>
                <w:p>
                  <w:pPr>
                    <w:pStyle w:val="167"/>
                  </w:pPr>
                  <w:r>
                    <w:t>CAS号</w:t>
                  </w:r>
                </w:p>
              </w:tc>
              <w:tc>
                <w:tcPr>
                  <w:tcW w:w="2686" w:type="dxa"/>
                  <w:shd w:val="clear" w:color="auto" w:fill="auto"/>
                  <w:vAlign w:val="center"/>
                </w:tcPr>
                <w:p>
                  <w:pPr>
                    <w:pStyle w:val="167"/>
                  </w:pPr>
                  <w:r>
                    <w:t>/</w:t>
                  </w:r>
                </w:p>
              </w:tc>
              <w:tc>
                <w:tcPr>
                  <w:tcW w:w="916" w:type="dxa"/>
                  <w:shd w:val="clear" w:color="auto" w:fill="auto"/>
                  <w:vAlign w:val="center"/>
                </w:tcPr>
                <w:p>
                  <w:pPr>
                    <w:pStyle w:val="167"/>
                  </w:pPr>
                  <w:r>
                    <w:t>UN号</w:t>
                  </w:r>
                </w:p>
              </w:tc>
              <w:tc>
                <w:tcPr>
                  <w:tcW w:w="2349" w:type="dxa"/>
                  <w:shd w:val="clear" w:color="auto" w:fill="auto"/>
                  <w:vAlign w:val="center"/>
                </w:tcPr>
                <w:p>
                  <w:pPr>
                    <w:pStyle w:val="167"/>
                  </w:pPr>
                  <w: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50" w:type="dxa"/>
                  <w:gridSpan w:val="2"/>
                  <w:vMerge w:val="restart"/>
                  <w:shd w:val="clear" w:color="auto" w:fill="auto"/>
                  <w:vAlign w:val="center"/>
                </w:tcPr>
                <w:p>
                  <w:pPr>
                    <w:pStyle w:val="167"/>
                  </w:pPr>
                  <w:r>
                    <w:t>理化性质</w:t>
                  </w:r>
                </w:p>
              </w:tc>
              <w:tc>
                <w:tcPr>
                  <w:tcW w:w="723" w:type="dxa"/>
                  <w:shd w:val="clear" w:color="auto" w:fill="auto"/>
                  <w:vAlign w:val="center"/>
                </w:tcPr>
                <w:p>
                  <w:pPr>
                    <w:pStyle w:val="167"/>
                  </w:pPr>
                  <w:r>
                    <w:t>外观性状</w:t>
                  </w:r>
                </w:p>
              </w:tc>
              <w:tc>
                <w:tcPr>
                  <w:tcW w:w="5951" w:type="dxa"/>
                  <w:gridSpan w:val="3"/>
                  <w:shd w:val="clear" w:color="auto" w:fill="auto"/>
                  <w:vAlign w:val="center"/>
                </w:tcPr>
                <w:p>
                  <w:pPr>
                    <w:pStyle w:val="167"/>
                  </w:pPr>
                  <w:r>
                    <w:t>黑色液体，半固体或固体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250" w:type="dxa"/>
                  <w:gridSpan w:val="2"/>
                  <w:vMerge w:val="continue"/>
                  <w:shd w:val="clear" w:color="auto" w:fill="auto"/>
                  <w:vAlign w:val="center"/>
                </w:tcPr>
                <w:p>
                  <w:pPr>
                    <w:pStyle w:val="167"/>
                  </w:pPr>
                </w:p>
              </w:tc>
              <w:tc>
                <w:tcPr>
                  <w:tcW w:w="723" w:type="dxa"/>
                  <w:shd w:val="clear" w:color="auto" w:fill="auto"/>
                  <w:vAlign w:val="center"/>
                </w:tcPr>
                <w:p>
                  <w:pPr>
                    <w:pStyle w:val="167"/>
                  </w:pPr>
                  <w:r>
                    <w:t>溶解性</w:t>
                  </w:r>
                </w:p>
              </w:tc>
              <w:tc>
                <w:tcPr>
                  <w:tcW w:w="5951" w:type="dxa"/>
                  <w:gridSpan w:val="3"/>
                  <w:shd w:val="clear" w:color="auto" w:fill="auto"/>
                  <w:vAlign w:val="center"/>
                </w:tcPr>
                <w:p>
                  <w:pPr>
                    <w:pStyle w:val="167"/>
                  </w:pPr>
                  <w:r>
                    <w:t>与水混溶，可混溶于醚、氯仿等多数有机溶剂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50" w:type="dxa"/>
                  <w:gridSpan w:val="2"/>
                  <w:vMerge w:val="continue"/>
                  <w:shd w:val="clear" w:color="auto" w:fill="auto"/>
                  <w:vAlign w:val="center"/>
                </w:tcPr>
                <w:p>
                  <w:pPr>
                    <w:pStyle w:val="167"/>
                  </w:pPr>
                </w:p>
              </w:tc>
              <w:tc>
                <w:tcPr>
                  <w:tcW w:w="723" w:type="dxa"/>
                  <w:shd w:val="clear" w:color="auto" w:fill="auto"/>
                  <w:vAlign w:val="center"/>
                </w:tcPr>
                <w:p>
                  <w:pPr>
                    <w:pStyle w:val="167"/>
                  </w:pPr>
                  <w:r>
                    <w:t>熔点℃</w:t>
                  </w:r>
                </w:p>
              </w:tc>
              <w:tc>
                <w:tcPr>
                  <w:tcW w:w="2686" w:type="dxa"/>
                  <w:shd w:val="clear" w:color="auto" w:fill="auto"/>
                  <w:vAlign w:val="center"/>
                </w:tcPr>
                <w:p>
                  <w:pPr>
                    <w:pStyle w:val="167"/>
                  </w:pPr>
                  <w:r>
                    <w:t>/</w:t>
                  </w:r>
                </w:p>
              </w:tc>
              <w:tc>
                <w:tcPr>
                  <w:tcW w:w="916" w:type="dxa"/>
                  <w:shd w:val="clear" w:color="auto" w:fill="auto"/>
                  <w:vAlign w:val="center"/>
                </w:tcPr>
                <w:p>
                  <w:pPr>
                    <w:pStyle w:val="167"/>
                  </w:pPr>
                  <w:r>
                    <w:t>沸点℃</w:t>
                  </w:r>
                </w:p>
              </w:tc>
              <w:tc>
                <w:tcPr>
                  <w:tcW w:w="2349" w:type="dxa"/>
                  <w:shd w:val="clear" w:color="auto" w:fill="auto"/>
                  <w:vAlign w:val="center"/>
                </w:tcPr>
                <w:p>
                  <w:pPr>
                    <w:pStyle w:val="167"/>
                  </w:pPr>
                  <w: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250" w:type="dxa"/>
                  <w:gridSpan w:val="2"/>
                  <w:vMerge w:val="continue"/>
                  <w:shd w:val="clear" w:color="auto" w:fill="auto"/>
                  <w:vAlign w:val="center"/>
                </w:tcPr>
                <w:p>
                  <w:pPr>
                    <w:pStyle w:val="167"/>
                  </w:pPr>
                </w:p>
              </w:tc>
              <w:tc>
                <w:tcPr>
                  <w:tcW w:w="723" w:type="dxa"/>
                  <w:shd w:val="clear" w:color="auto" w:fill="auto"/>
                  <w:vAlign w:val="center"/>
                </w:tcPr>
                <w:p>
                  <w:pPr>
                    <w:pStyle w:val="167"/>
                  </w:pPr>
                  <w:r>
                    <w:t>闪点℃</w:t>
                  </w:r>
                </w:p>
              </w:tc>
              <w:tc>
                <w:tcPr>
                  <w:tcW w:w="2686" w:type="dxa"/>
                  <w:shd w:val="clear" w:color="auto" w:fill="auto"/>
                  <w:vAlign w:val="center"/>
                </w:tcPr>
                <w:p>
                  <w:pPr>
                    <w:pStyle w:val="167"/>
                  </w:pPr>
                  <w:r>
                    <w:t>204.4</w:t>
                  </w:r>
                </w:p>
              </w:tc>
              <w:tc>
                <w:tcPr>
                  <w:tcW w:w="916" w:type="dxa"/>
                  <w:shd w:val="clear" w:color="auto" w:fill="auto"/>
                  <w:vAlign w:val="center"/>
                </w:tcPr>
                <w:p>
                  <w:pPr>
                    <w:pStyle w:val="167"/>
                  </w:pPr>
                  <w:r>
                    <w:t>饱和蒸汽压</w:t>
                  </w:r>
                </w:p>
              </w:tc>
              <w:tc>
                <w:tcPr>
                  <w:tcW w:w="2349" w:type="dxa"/>
                  <w:shd w:val="clear" w:color="auto" w:fill="auto"/>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250" w:type="dxa"/>
                  <w:gridSpan w:val="2"/>
                  <w:vMerge w:val="continue"/>
                  <w:shd w:val="clear" w:color="auto" w:fill="auto"/>
                  <w:vAlign w:val="center"/>
                </w:tcPr>
                <w:p>
                  <w:pPr>
                    <w:pStyle w:val="167"/>
                  </w:pPr>
                </w:p>
              </w:tc>
              <w:tc>
                <w:tcPr>
                  <w:tcW w:w="3409" w:type="dxa"/>
                  <w:gridSpan w:val="2"/>
                  <w:shd w:val="clear" w:color="auto" w:fill="auto"/>
                  <w:vAlign w:val="center"/>
                </w:tcPr>
                <w:p>
                  <w:pPr>
                    <w:pStyle w:val="167"/>
                  </w:pPr>
                  <w:r>
                    <w:t>密度（g/cm</w:t>
                  </w:r>
                  <w:r>
                    <w:rPr>
                      <w:vertAlign w:val="superscript"/>
                    </w:rPr>
                    <w:t>3</w:t>
                  </w:r>
                  <w:r>
                    <w:t>）/</w:t>
                  </w:r>
                </w:p>
              </w:tc>
              <w:tc>
                <w:tcPr>
                  <w:tcW w:w="3265" w:type="dxa"/>
                  <w:gridSpan w:val="2"/>
                  <w:shd w:val="clear" w:color="auto" w:fill="auto"/>
                  <w:vAlign w:val="center"/>
                </w:tcPr>
                <w:p>
                  <w:pPr>
                    <w:pStyle w:val="167"/>
                  </w:pPr>
                  <w:r>
                    <w:t>相对密度（水=1）1.15-1.25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6" w:type="dxa"/>
                  <w:vMerge w:val="restart"/>
                  <w:shd w:val="clear" w:color="auto" w:fill="auto"/>
                  <w:vAlign w:val="center"/>
                </w:tcPr>
                <w:p>
                  <w:pPr>
                    <w:pStyle w:val="167"/>
                  </w:pPr>
                  <w:r>
                    <w:t>燃烧爆炸危险性</w:t>
                  </w:r>
                </w:p>
              </w:tc>
              <w:tc>
                <w:tcPr>
                  <w:tcW w:w="824" w:type="dxa"/>
                  <w:shd w:val="clear" w:color="auto" w:fill="auto"/>
                  <w:vAlign w:val="center"/>
                </w:tcPr>
                <w:p>
                  <w:pPr>
                    <w:pStyle w:val="167"/>
                  </w:pPr>
                  <w:r>
                    <w:t>燃爆危险</w:t>
                  </w:r>
                </w:p>
              </w:tc>
              <w:tc>
                <w:tcPr>
                  <w:tcW w:w="6674" w:type="dxa"/>
                  <w:gridSpan w:val="4"/>
                  <w:shd w:val="clear" w:color="auto" w:fill="auto"/>
                  <w:vAlign w:val="center"/>
                </w:tcPr>
                <w:p>
                  <w:pPr>
                    <w:pStyle w:val="167"/>
                  </w:pPr>
                  <w:r>
                    <w:t>本品可燃，具刺激性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6" w:type="dxa"/>
                  <w:vMerge w:val="continue"/>
                  <w:shd w:val="clear" w:color="auto" w:fill="auto"/>
                  <w:vAlign w:val="center"/>
                </w:tcPr>
                <w:p>
                  <w:pPr>
                    <w:pStyle w:val="167"/>
                  </w:pPr>
                </w:p>
              </w:tc>
              <w:tc>
                <w:tcPr>
                  <w:tcW w:w="824" w:type="dxa"/>
                  <w:shd w:val="clear" w:color="auto" w:fill="auto"/>
                  <w:vAlign w:val="center"/>
                </w:tcPr>
                <w:p>
                  <w:pPr>
                    <w:pStyle w:val="167"/>
                  </w:pPr>
                  <w:r>
                    <w:t>危险特性</w:t>
                  </w:r>
                </w:p>
              </w:tc>
              <w:tc>
                <w:tcPr>
                  <w:tcW w:w="6674" w:type="dxa"/>
                  <w:gridSpan w:val="4"/>
                  <w:shd w:val="clear" w:color="auto" w:fill="auto"/>
                  <w:vAlign w:val="center"/>
                </w:tcPr>
                <w:p>
                  <w:pPr>
                    <w:pStyle w:val="167"/>
                  </w:pPr>
                  <w:r>
                    <w:t>遇明火、高热可燃。燃烧时放出有毒的刺激性烟雾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6" w:type="dxa"/>
                  <w:vMerge w:val="continue"/>
                  <w:shd w:val="clear" w:color="auto" w:fill="auto"/>
                  <w:vAlign w:val="center"/>
                </w:tcPr>
                <w:p>
                  <w:pPr>
                    <w:pStyle w:val="167"/>
                  </w:pPr>
                </w:p>
              </w:tc>
              <w:tc>
                <w:tcPr>
                  <w:tcW w:w="824" w:type="dxa"/>
                  <w:shd w:val="clear" w:color="auto" w:fill="auto"/>
                  <w:vAlign w:val="center"/>
                </w:tcPr>
                <w:p>
                  <w:pPr>
                    <w:pStyle w:val="167"/>
                  </w:pPr>
                  <w:r>
                    <w:t>禁配物</w:t>
                  </w:r>
                </w:p>
              </w:tc>
              <w:tc>
                <w:tcPr>
                  <w:tcW w:w="6674" w:type="dxa"/>
                  <w:gridSpan w:val="4"/>
                  <w:shd w:val="clear" w:color="auto" w:fill="auto"/>
                  <w:vAlign w:val="center"/>
                </w:tcPr>
                <w:p>
                  <w:pPr>
                    <w:pStyle w:val="167"/>
                  </w:pPr>
                  <w:r>
                    <w:t>强氧化剂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426" w:type="dxa"/>
                  <w:vMerge w:val="continue"/>
                  <w:shd w:val="clear" w:color="auto" w:fill="auto"/>
                  <w:vAlign w:val="center"/>
                </w:tcPr>
                <w:p>
                  <w:pPr>
                    <w:pStyle w:val="167"/>
                  </w:pPr>
                </w:p>
              </w:tc>
              <w:tc>
                <w:tcPr>
                  <w:tcW w:w="824" w:type="dxa"/>
                  <w:shd w:val="clear" w:color="auto" w:fill="auto"/>
                  <w:vAlign w:val="center"/>
                </w:tcPr>
                <w:p>
                  <w:pPr>
                    <w:pStyle w:val="167"/>
                  </w:pPr>
                  <w:r>
                    <w:t>消防措施</w:t>
                  </w:r>
                </w:p>
              </w:tc>
              <w:tc>
                <w:tcPr>
                  <w:tcW w:w="6674" w:type="dxa"/>
                  <w:gridSpan w:val="4"/>
                  <w:shd w:val="clear" w:color="auto" w:fill="auto"/>
                  <w:vAlign w:val="center"/>
                </w:tcPr>
                <w:p>
                  <w:pPr>
                    <w:pStyle w:val="167"/>
                  </w:pPr>
                  <w:r>
                    <w:t>消防人员必须佩戴过滤式防毒面具（全面置）或隔离式呼吸器、穿全身防火防毒服，在上风向灭火。尽可能将容器从火场移至空矿处。喷水保持火场容器冷却，直至灭火结束。处在火场院中的容器若已变色或从安全泄压装置中产生声音，必须马上撤离。</w:t>
                  </w:r>
                </w:p>
                <w:p>
                  <w:pPr>
                    <w:pStyle w:val="167"/>
                  </w:pPr>
                  <w: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426" w:type="dxa"/>
                  <w:vMerge w:val="restart"/>
                  <w:shd w:val="clear" w:color="auto" w:fill="auto"/>
                  <w:vAlign w:val="center"/>
                </w:tcPr>
                <w:p>
                  <w:pPr>
                    <w:pStyle w:val="167"/>
                  </w:pPr>
                  <w:r>
                    <w:t>健康危害</w:t>
                  </w:r>
                </w:p>
              </w:tc>
              <w:tc>
                <w:tcPr>
                  <w:tcW w:w="824" w:type="dxa"/>
                  <w:shd w:val="clear" w:color="auto" w:fill="auto"/>
                  <w:vAlign w:val="center"/>
                </w:tcPr>
                <w:p>
                  <w:pPr>
                    <w:pStyle w:val="167"/>
                  </w:pPr>
                  <w:r>
                    <w:t>急性毒性</w:t>
                  </w:r>
                </w:p>
              </w:tc>
              <w:tc>
                <w:tcPr>
                  <w:tcW w:w="6674" w:type="dxa"/>
                  <w:gridSpan w:val="4"/>
                  <w:shd w:val="clear" w:color="auto" w:fill="auto"/>
                  <w:vAlign w:val="center"/>
                </w:tcPr>
                <w:p>
                  <w:pPr>
                    <w:pStyle w:val="167"/>
                  </w:pPr>
                  <w:r>
                    <w:t>LD50 ：无资料。</w:t>
                  </w:r>
                </w:p>
                <w:p>
                  <w:pPr>
                    <w:pStyle w:val="167"/>
                  </w:pPr>
                  <w:r>
                    <w:t>LC50 ：无资料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426" w:type="dxa"/>
                  <w:vMerge w:val="continue"/>
                  <w:shd w:val="clear" w:color="auto" w:fill="auto"/>
                  <w:vAlign w:val="center"/>
                </w:tcPr>
                <w:p>
                  <w:pPr>
                    <w:pStyle w:val="167"/>
                  </w:pPr>
                </w:p>
              </w:tc>
              <w:tc>
                <w:tcPr>
                  <w:tcW w:w="824" w:type="dxa"/>
                  <w:shd w:val="clear" w:color="auto" w:fill="auto"/>
                  <w:vAlign w:val="center"/>
                </w:tcPr>
                <w:p>
                  <w:pPr>
                    <w:pStyle w:val="167"/>
                  </w:pPr>
                  <w:r>
                    <w:t>侵入途径</w:t>
                  </w:r>
                </w:p>
              </w:tc>
              <w:tc>
                <w:tcPr>
                  <w:tcW w:w="6674" w:type="dxa"/>
                  <w:gridSpan w:val="4"/>
                  <w:shd w:val="clear" w:color="auto" w:fill="auto"/>
                  <w:vAlign w:val="center"/>
                </w:tcPr>
                <w:p>
                  <w:pPr>
                    <w:pStyle w:val="167"/>
                  </w:pPr>
                  <w: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426" w:type="dxa"/>
                  <w:vMerge w:val="continue"/>
                  <w:shd w:val="clear" w:color="auto" w:fill="auto"/>
                  <w:vAlign w:val="center"/>
                </w:tcPr>
                <w:p>
                  <w:pPr>
                    <w:pStyle w:val="167"/>
                  </w:pPr>
                </w:p>
              </w:tc>
              <w:tc>
                <w:tcPr>
                  <w:tcW w:w="824" w:type="dxa"/>
                  <w:shd w:val="clear" w:color="auto" w:fill="auto"/>
                  <w:vAlign w:val="center"/>
                </w:tcPr>
                <w:p>
                  <w:pPr>
                    <w:pStyle w:val="167"/>
                  </w:pPr>
                  <w:r>
                    <w:t>健康危害</w:t>
                  </w:r>
                </w:p>
              </w:tc>
              <w:tc>
                <w:tcPr>
                  <w:tcW w:w="6674" w:type="dxa"/>
                  <w:gridSpan w:val="4"/>
                  <w:shd w:val="clear" w:color="auto" w:fill="auto"/>
                  <w:vAlign w:val="center"/>
                </w:tcPr>
                <w:p>
                  <w:pPr>
                    <w:pStyle w:val="167"/>
                  </w:pPr>
                  <w:r>
                    <w:t>健康危害:沥青及其烟气对皮肤粘膜具有刺激性，有光毒作用和致肿瘤作用。我国三种主要沥青的毒性:煤焦沥青〉页岩沥青&gt;石油沥青，前二者有致癌性。沥青的主要皮肤损害有:光毒性皮炎，皮损限于面、颈部等暴露部分;黑变病，皮损常对称分布于暴露部位，呈片状，呈-深褐-褐黑色:职业性痤疮:疣状赘生物及事故引起的热烧伤。此外，尚有头昏、头胀，头痛、胸闷、乏力、恶心、食欲不振等全身症状和眼、鼻、咽部的刺激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426" w:type="dxa"/>
                  <w:vMerge w:val="continue"/>
                  <w:shd w:val="clear" w:color="auto" w:fill="auto"/>
                  <w:vAlign w:val="center"/>
                </w:tcPr>
                <w:p>
                  <w:pPr>
                    <w:pStyle w:val="167"/>
                  </w:pPr>
                </w:p>
              </w:tc>
              <w:tc>
                <w:tcPr>
                  <w:tcW w:w="824" w:type="dxa"/>
                  <w:shd w:val="clear" w:color="auto" w:fill="auto"/>
                  <w:vAlign w:val="center"/>
                </w:tcPr>
                <w:p>
                  <w:pPr>
                    <w:pStyle w:val="167"/>
                  </w:pPr>
                  <w:r>
                    <w:t>防护</w:t>
                  </w:r>
                </w:p>
              </w:tc>
              <w:tc>
                <w:tcPr>
                  <w:tcW w:w="6674" w:type="dxa"/>
                  <w:gridSpan w:val="4"/>
                  <w:shd w:val="clear" w:color="auto" w:fill="auto"/>
                  <w:vAlign w:val="center"/>
                </w:tcPr>
                <w:p>
                  <w:pPr>
                    <w:pStyle w:val="167"/>
                  </w:pPr>
                  <w:r>
                    <w:t>工程控制：提供良好的自然通风条件；</w:t>
                  </w:r>
                </w:p>
                <w:p>
                  <w:pPr>
                    <w:pStyle w:val="167"/>
                  </w:pPr>
                  <w:r>
                    <w:t>眼睛防护：呼吸系统防护中已作防护；</w:t>
                  </w:r>
                </w:p>
                <w:p>
                  <w:pPr>
                    <w:pStyle w:val="167"/>
                  </w:pPr>
                  <w:r>
                    <w:t>呼吸系统防护：可能接触其粉尘时，必须佩戴防尘面具（全面罩）;可能接触其蒸气时，应该佩戴自吸过滤式防毒面具；</w:t>
                  </w:r>
                </w:p>
                <w:p>
                  <w:pPr>
                    <w:pStyle w:val="167"/>
                  </w:pPr>
                  <w:r>
                    <w:t>身体防护：穿防毒物渗透工作服；</w:t>
                  </w:r>
                </w:p>
                <w:p>
                  <w:pPr>
                    <w:pStyle w:val="167"/>
                  </w:pPr>
                  <w:r>
                    <w:t>手防护：戴橡胶手套；</w:t>
                  </w:r>
                </w:p>
                <w:p>
                  <w:pPr>
                    <w:pStyle w:val="167"/>
                  </w:pPr>
                  <w:r>
                    <w:t>其他：工作现场禁止吸烟。避免长期反复接触。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426" w:type="dxa"/>
                  <w:vMerge w:val="continue"/>
                  <w:shd w:val="clear" w:color="auto" w:fill="auto"/>
                  <w:vAlign w:val="center"/>
                </w:tcPr>
                <w:p>
                  <w:pPr>
                    <w:pStyle w:val="167"/>
                  </w:pPr>
                </w:p>
              </w:tc>
              <w:tc>
                <w:tcPr>
                  <w:tcW w:w="824" w:type="dxa"/>
                  <w:shd w:val="clear" w:color="auto" w:fill="auto"/>
                  <w:vAlign w:val="center"/>
                </w:tcPr>
                <w:p>
                  <w:pPr>
                    <w:pStyle w:val="167"/>
                  </w:pPr>
                  <w:r>
                    <w:t>急救措施</w:t>
                  </w:r>
                </w:p>
              </w:tc>
              <w:tc>
                <w:tcPr>
                  <w:tcW w:w="6674" w:type="dxa"/>
                  <w:gridSpan w:val="4"/>
                  <w:shd w:val="clear" w:color="auto" w:fill="auto"/>
                  <w:vAlign w:val="center"/>
                </w:tcPr>
                <w:p>
                  <w:pPr>
                    <w:pStyle w:val="167"/>
                  </w:pPr>
                  <w:r>
                    <w:t>皮肤接触：立即脱去污染的衣着，用肥皂水和清水彻底冲洗冲洗皮肤。就医；</w:t>
                  </w:r>
                </w:p>
                <w:p>
                  <w:pPr>
                    <w:pStyle w:val="167"/>
                  </w:pPr>
                  <w:r>
                    <w:t>眼睛接触：立即提起眼睑，用大量流动清水或生理盐水冲洗至少15分钟。就医；</w:t>
                  </w:r>
                </w:p>
                <w:p>
                  <w:pPr>
                    <w:pStyle w:val="167"/>
                  </w:pPr>
                  <w:r>
                    <w:t>食入：饮足量温水，催吐。洗胃，导泄。就医；</w:t>
                  </w:r>
                </w:p>
                <w:p>
                  <w:pPr>
                    <w:pStyle w:val="167"/>
                  </w:pPr>
                  <w:r>
                    <w:t>吸入：迅速同脱离现场至空气新鲜处。保持呼吸道通畅，如呼吸困难，给输。如呼吸停止，立即进行人工呼吸。就医。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250" w:type="dxa"/>
                  <w:gridSpan w:val="2"/>
                  <w:shd w:val="clear" w:color="auto" w:fill="auto"/>
                  <w:vAlign w:val="center"/>
                </w:tcPr>
                <w:p>
                  <w:pPr>
                    <w:pStyle w:val="167"/>
                  </w:pPr>
                  <w:r>
                    <w:t>泄漏处理</w:t>
                  </w:r>
                </w:p>
              </w:tc>
              <w:tc>
                <w:tcPr>
                  <w:tcW w:w="6674" w:type="dxa"/>
                  <w:gridSpan w:val="4"/>
                  <w:shd w:val="clear" w:color="auto" w:fill="auto"/>
                  <w:vAlign w:val="center"/>
                </w:tcPr>
                <w:p>
                  <w:pPr>
                    <w:pStyle w:val="167"/>
                  </w:pPr>
                  <w:r>
                    <w:t>迅速撤离泄漏污染区人员至安全区，并进行隔离，严格限制出入。切断火源，建议应急处理人员戴自给正压式呼吸器，穿防毒服。尽可能切断泄漏源。若是液体，防止流入下水道、排洪沟等限制性空间。小量泄漏:大量水冲洗，洗水稀释后放入废水系统。大量泄漏:构筑围堤或挖坑收容。用泵转移至车或专用收集器内，回收或运至废物处理场所处置。若是固体，用洁净的铲子收集于干燥、洁净、有盖的容器中。若大量泄漏，收集回收或运至废物处理场所处置。</w:t>
                  </w:r>
                </w:p>
              </w:tc>
            </w:tr>
          </w:tbl>
          <w:p>
            <w:pPr>
              <w:pStyle w:val="139"/>
              <w:ind w:firstLine="480"/>
            </w:pPr>
            <w:r>
              <w:t>（2）环境风险识别</w:t>
            </w:r>
          </w:p>
          <w:p>
            <w:pPr>
              <w:pStyle w:val="139"/>
              <w:ind w:firstLine="480"/>
            </w:pPr>
            <w:r>
              <w:t>项目环境风险识别包括物质危险性识别，生产系统危险性识别，危险物质向环境转移的途径识别。</w:t>
            </w:r>
          </w:p>
          <w:p>
            <w:pPr>
              <w:pStyle w:val="139"/>
              <w:ind w:firstLine="476"/>
            </w:pPr>
            <w:r>
              <w:rPr>
                <w:spacing w:val="-1"/>
              </w:rPr>
              <w:t>物质危险识别包括：主要原辅材料、燃料、中间产品、副产品、最终产品、污染物、</w:t>
            </w:r>
            <w:r>
              <w:t>火灾和爆炸伴生/</w:t>
            </w:r>
            <w:r>
              <w:rPr>
                <w:spacing w:val="-8"/>
              </w:rPr>
              <w:t>次生物等。根据《建设项目环境风险评价技术导则》</w:t>
            </w:r>
            <w:r>
              <w:t>（HJ169-2018）附录B，对其按有毒有害、易燃易爆物质逐个分类识别判定。本项目建成后风险物质主要为矿物油（废导热油、柴油、润滑油）、沥青。</w:t>
            </w:r>
          </w:p>
          <w:p>
            <w:pPr>
              <w:pStyle w:val="139"/>
              <w:ind w:firstLine="480"/>
            </w:pPr>
            <w:r>
              <w:t>皮肤接触油类物质可引起接触性皮炎、油性痤疮，吸入可引起吸入性肺炎，能经胎盘进入胎儿血中。废矿物油废气可引起眼、鼻刺激症状，头晕及头痛。</w:t>
            </w:r>
          </w:p>
          <w:p>
            <w:pPr>
              <w:pStyle w:val="139"/>
              <w:ind w:firstLine="480"/>
            </w:pPr>
            <w:r>
              <w:t>本项目生产系统风险源主要为废矿物油、沥青发生火灾、爆炸事故；矿物油均属易燃、易爆液体，如果在储存、输送过程发生跑、冒、滴、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p>
          <w:p>
            <w:pPr>
              <w:pStyle w:val="139"/>
              <w:ind w:firstLine="480"/>
            </w:pPr>
            <w:r>
              <w:t>危险物质向环境转移的途径识别包括：物质泄漏，以及火灾、爆炸等引发的伴生次生污染物排放。本项目环境风险类型主要为矿物油发生泄漏、火灾、爆炸引发的伴生/次生污染物排放对大气、地表水、地下水的影响。</w:t>
            </w:r>
          </w:p>
          <w:p>
            <w:pPr>
              <w:pStyle w:val="164"/>
            </w:pPr>
            <w:r>
              <w:t>3、风险潜势初判</w:t>
            </w:r>
          </w:p>
          <w:p>
            <w:pPr>
              <w:pStyle w:val="139"/>
              <w:ind w:firstLine="480"/>
            </w:pPr>
            <w:r>
              <w:t>建设项目潜势划分为I、II、III、IV/IV+级。</w:t>
            </w:r>
          </w:p>
          <w:p>
            <w:pPr>
              <w:pStyle w:val="139"/>
              <w:ind w:firstLine="480"/>
            </w:pPr>
            <w:r>
              <w:t>根据建设项目涉及的物质和工艺系统的危险性及其所在地的环境敏感程度，结合事故情形下环境影响途径，对建设项目潜在环境危害程度进行概化分析，按照下表确定环境风险潜势。</w:t>
            </w:r>
          </w:p>
          <w:p>
            <w:pPr>
              <w:pStyle w:val="168"/>
            </w:pPr>
            <w:r>
              <w:t>表4-16   建设项目环境风险潜势划分</w:t>
            </w:r>
          </w:p>
          <w:tbl>
            <w:tblPr>
              <w:tblStyle w:val="29"/>
              <w:tblW w:w="8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2" w:type="dxa"/>
                  <w:vMerge w:val="restart"/>
                  <w:tcBorders>
                    <w:tl2br w:val="nil"/>
                    <w:tr2bl w:val="nil"/>
                  </w:tcBorders>
                  <w:vAlign w:val="center"/>
                </w:tcPr>
                <w:p>
                  <w:pPr>
                    <w:pStyle w:val="167"/>
                    <w:rPr>
                      <w:snapToGrid w:val="0"/>
                    </w:rPr>
                  </w:pPr>
                  <w:r>
                    <w:rPr>
                      <w:snapToGrid w:val="0"/>
                    </w:rPr>
                    <w:t>环境敏感程度（E）</w:t>
                  </w:r>
                </w:p>
              </w:tc>
              <w:tc>
                <w:tcPr>
                  <w:tcW w:w="6334" w:type="dxa"/>
                  <w:gridSpan w:val="4"/>
                  <w:tcBorders>
                    <w:tl2br w:val="nil"/>
                    <w:tr2bl w:val="nil"/>
                  </w:tcBorders>
                  <w:vAlign w:val="center"/>
                </w:tcPr>
                <w:p>
                  <w:pPr>
                    <w:pStyle w:val="167"/>
                    <w:rPr>
                      <w:snapToGrid w:val="0"/>
                    </w:rPr>
                  </w:pPr>
                  <w:r>
                    <w:rPr>
                      <w:snapToGrid w:val="0"/>
                      <w:lang w:val="zh-CN"/>
                    </w:rPr>
                    <w:t>危险物质及工艺系统危险性（</w:t>
                  </w:r>
                  <w:r>
                    <w:rPr>
                      <w:snapToGrid w:val="0"/>
                    </w:rPr>
                    <w:t>P</w:t>
                  </w:r>
                  <w:r>
                    <w:rPr>
                      <w:snapToGrid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vAlign w:val="center"/>
                </w:tcPr>
                <w:p>
                  <w:pPr>
                    <w:pStyle w:val="167"/>
                    <w:rPr>
                      <w:snapToGrid w:val="0"/>
                    </w:rPr>
                  </w:pPr>
                </w:p>
              </w:tc>
              <w:tc>
                <w:tcPr>
                  <w:tcW w:w="1460" w:type="dxa"/>
                  <w:tcBorders>
                    <w:tl2br w:val="nil"/>
                    <w:tr2bl w:val="nil"/>
                  </w:tcBorders>
                  <w:vAlign w:val="center"/>
                </w:tcPr>
                <w:p>
                  <w:pPr>
                    <w:pStyle w:val="167"/>
                    <w:rPr>
                      <w:snapToGrid w:val="0"/>
                    </w:rPr>
                  </w:pPr>
                  <w:r>
                    <w:rPr>
                      <w:snapToGrid w:val="0"/>
                    </w:rPr>
                    <w:t>极高危害（P1）</w:t>
                  </w:r>
                </w:p>
              </w:tc>
              <w:tc>
                <w:tcPr>
                  <w:tcW w:w="1687" w:type="dxa"/>
                  <w:tcBorders>
                    <w:tl2br w:val="nil"/>
                    <w:tr2bl w:val="nil"/>
                  </w:tcBorders>
                  <w:vAlign w:val="center"/>
                </w:tcPr>
                <w:p>
                  <w:pPr>
                    <w:pStyle w:val="167"/>
                    <w:rPr>
                      <w:snapToGrid w:val="0"/>
                    </w:rPr>
                  </w:pPr>
                  <w:r>
                    <w:rPr>
                      <w:snapToGrid w:val="0"/>
                    </w:rPr>
                    <w:t>高度危害（P2）</w:t>
                  </w:r>
                </w:p>
              </w:tc>
              <w:tc>
                <w:tcPr>
                  <w:tcW w:w="1541" w:type="dxa"/>
                  <w:tcBorders>
                    <w:tl2br w:val="nil"/>
                    <w:tr2bl w:val="nil"/>
                  </w:tcBorders>
                  <w:vAlign w:val="center"/>
                </w:tcPr>
                <w:p>
                  <w:pPr>
                    <w:pStyle w:val="167"/>
                    <w:rPr>
                      <w:snapToGrid w:val="0"/>
                    </w:rPr>
                  </w:pPr>
                  <w:r>
                    <w:rPr>
                      <w:snapToGrid w:val="0"/>
                    </w:rPr>
                    <w:t>中度危害（P3）</w:t>
                  </w:r>
                </w:p>
              </w:tc>
              <w:tc>
                <w:tcPr>
                  <w:tcW w:w="1646" w:type="dxa"/>
                  <w:tcBorders>
                    <w:tl2br w:val="nil"/>
                    <w:tr2bl w:val="nil"/>
                  </w:tcBorders>
                  <w:vAlign w:val="center"/>
                </w:tcPr>
                <w:p>
                  <w:pPr>
                    <w:pStyle w:val="167"/>
                    <w:rPr>
                      <w:snapToGrid w:val="0"/>
                    </w:rPr>
                  </w:pPr>
                  <w:r>
                    <w:rPr>
                      <w:snapToGrid w:val="0"/>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2" w:type="dxa"/>
                  <w:tcBorders>
                    <w:tl2br w:val="nil"/>
                    <w:tr2bl w:val="nil"/>
                  </w:tcBorders>
                  <w:vAlign w:val="center"/>
                </w:tcPr>
                <w:p>
                  <w:pPr>
                    <w:pStyle w:val="167"/>
                    <w:rPr>
                      <w:snapToGrid w:val="0"/>
                    </w:rPr>
                  </w:pPr>
                  <w:r>
                    <w:rPr>
                      <w:snapToGrid w:val="0"/>
                    </w:rPr>
                    <w:t>环境高度敏感区（E1）</w:t>
                  </w:r>
                </w:p>
              </w:tc>
              <w:tc>
                <w:tcPr>
                  <w:tcW w:w="1460" w:type="dxa"/>
                  <w:tcBorders>
                    <w:tl2br w:val="nil"/>
                    <w:tr2bl w:val="nil"/>
                  </w:tcBorders>
                  <w:vAlign w:val="center"/>
                </w:tcPr>
                <w:p>
                  <w:pPr>
                    <w:pStyle w:val="167"/>
                    <w:rPr>
                      <w:snapToGrid w:val="0"/>
                    </w:rPr>
                  </w:pPr>
                  <w:r>
                    <w:rPr>
                      <w:snapToGrid w:val="0"/>
                    </w:rPr>
                    <w:t>Ⅳ+</w:t>
                  </w:r>
                </w:p>
              </w:tc>
              <w:tc>
                <w:tcPr>
                  <w:tcW w:w="1687" w:type="dxa"/>
                  <w:tcBorders>
                    <w:tl2br w:val="nil"/>
                    <w:tr2bl w:val="nil"/>
                  </w:tcBorders>
                  <w:vAlign w:val="center"/>
                </w:tcPr>
                <w:p>
                  <w:pPr>
                    <w:pStyle w:val="167"/>
                    <w:rPr>
                      <w:snapToGrid w:val="0"/>
                    </w:rPr>
                  </w:pPr>
                  <w:r>
                    <w:rPr>
                      <w:snapToGrid w:val="0"/>
                    </w:rPr>
                    <w:t>Ⅳ</w:t>
                  </w:r>
                </w:p>
              </w:tc>
              <w:tc>
                <w:tcPr>
                  <w:tcW w:w="1541" w:type="dxa"/>
                  <w:tcBorders>
                    <w:tl2br w:val="nil"/>
                    <w:tr2bl w:val="nil"/>
                  </w:tcBorders>
                  <w:vAlign w:val="center"/>
                </w:tcPr>
                <w:p>
                  <w:pPr>
                    <w:pStyle w:val="167"/>
                    <w:rPr>
                      <w:snapToGrid w:val="0"/>
                    </w:rPr>
                  </w:pPr>
                  <w:r>
                    <w:rPr>
                      <w:snapToGrid w:val="0"/>
                    </w:rPr>
                    <w:t>Ⅲ</w:t>
                  </w:r>
                </w:p>
              </w:tc>
              <w:tc>
                <w:tcPr>
                  <w:tcW w:w="1646" w:type="dxa"/>
                  <w:tcBorders>
                    <w:tl2br w:val="nil"/>
                    <w:tr2bl w:val="nil"/>
                  </w:tcBorders>
                  <w:vAlign w:val="center"/>
                </w:tcPr>
                <w:p>
                  <w:pPr>
                    <w:pStyle w:val="167"/>
                    <w:rPr>
                      <w:snapToGrid w:val="0"/>
                    </w:rPr>
                  </w:pPr>
                  <w:r>
                    <w:rPr>
                      <w:snapToGrid w:val="0"/>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2" w:type="dxa"/>
                  <w:tcBorders>
                    <w:tl2br w:val="nil"/>
                    <w:tr2bl w:val="nil"/>
                  </w:tcBorders>
                  <w:vAlign w:val="center"/>
                </w:tcPr>
                <w:p>
                  <w:pPr>
                    <w:pStyle w:val="167"/>
                    <w:rPr>
                      <w:snapToGrid w:val="0"/>
                    </w:rPr>
                  </w:pPr>
                  <w:r>
                    <w:rPr>
                      <w:snapToGrid w:val="0"/>
                    </w:rPr>
                    <w:t>环境中度敏感区（E2）</w:t>
                  </w:r>
                </w:p>
              </w:tc>
              <w:tc>
                <w:tcPr>
                  <w:tcW w:w="1460" w:type="dxa"/>
                  <w:tcBorders>
                    <w:tl2br w:val="nil"/>
                    <w:tr2bl w:val="nil"/>
                  </w:tcBorders>
                  <w:vAlign w:val="center"/>
                </w:tcPr>
                <w:p>
                  <w:pPr>
                    <w:pStyle w:val="167"/>
                    <w:rPr>
                      <w:snapToGrid w:val="0"/>
                    </w:rPr>
                  </w:pPr>
                  <w:r>
                    <w:rPr>
                      <w:snapToGrid w:val="0"/>
                    </w:rPr>
                    <w:t>Ⅳ</w:t>
                  </w:r>
                </w:p>
              </w:tc>
              <w:tc>
                <w:tcPr>
                  <w:tcW w:w="1687" w:type="dxa"/>
                  <w:tcBorders>
                    <w:tl2br w:val="nil"/>
                    <w:tr2bl w:val="nil"/>
                  </w:tcBorders>
                  <w:vAlign w:val="center"/>
                </w:tcPr>
                <w:p>
                  <w:pPr>
                    <w:pStyle w:val="167"/>
                    <w:rPr>
                      <w:snapToGrid w:val="0"/>
                    </w:rPr>
                  </w:pPr>
                  <w:r>
                    <w:rPr>
                      <w:snapToGrid w:val="0"/>
                    </w:rPr>
                    <w:t>Ⅲ</w:t>
                  </w:r>
                </w:p>
              </w:tc>
              <w:tc>
                <w:tcPr>
                  <w:tcW w:w="1541" w:type="dxa"/>
                  <w:tcBorders>
                    <w:tl2br w:val="nil"/>
                    <w:tr2bl w:val="nil"/>
                  </w:tcBorders>
                  <w:vAlign w:val="center"/>
                </w:tcPr>
                <w:p>
                  <w:pPr>
                    <w:pStyle w:val="167"/>
                    <w:rPr>
                      <w:snapToGrid w:val="0"/>
                    </w:rPr>
                  </w:pPr>
                  <w:r>
                    <w:rPr>
                      <w:snapToGrid w:val="0"/>
                    </w:rPr>
                    <w:t>Ⅲ</w:t>
                  </w:r>
                </w:p>
              </w:tc>
              <w:tc>
                <w:tcPr>
                  <w:tcW w:w="1646" w:type="dxa"/>
                  <w:tcBorders>
                    <w:tl2br w:val="nil"/>
                    <w:tr2bl w:val="nil"/>
                  </w:tcBorders>
                  <w:vAlign w:val="center"/>
                </w:tcPr>
                <w:p>
                  <w:pPr>
                    <w:pStyle w:val="167"/>
                    <w:rPr>
                      <w:snapToGrid w:val="0"/>
                    </w:rPr>
                  </w:pPr>
                  <w:r>
                    <w:rPr>
                      <w:snapToGrid w:val="0"/>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2" w:type="dxa"/>
                  <w:tcBorders>
                    <w:tl2br w:val="nil"/>
                    <w:tr2bl w:val="nil"/>
                  </w:tcBorders>
                  <w:vAlign w:val="center"/>
                </w:tcPr>
                <w:p>
                  <w:pPr>
                    <w:pStyle w:val="167"/>
                    <w:rPr>
                      <w:snapToGrid w:val="0"/>
                    </w:rPr>
                  </w:pPr>
                  <w:r>
                    <w:rPr>
                      <w:snapToGrid w:val="0"/>
                    </w:rPr>
                    <w:t>环境低度敏感区（E3）</w:t>
                  </w:r>
                </w:p>
              </w:tc>
              <w:tc>
                <w:tcPr>
                  <w:tcW w:w="1460" w:type="dxa"/>
                  <w:tcBorders>
                    <w:tl2br w:val="nil"/>
                    <w:tr2bl w:val="nil"/>
                  </w:tcBorders>
                  <w:vAlign w:val="center"/>
                </w:tcPr>
                <w:p>
                  <w:pPr>
                    <w:pStyle w:val="167"/>
                    <w:rPr>
                      <w:snapToGrid w:val="0"/>
                    </w:rPr>
                  </w:pPr>
                  <w:r>
                    <w:rPr>
                      <w:snapToGrid w:val="0"/>
                    </w:rPr>
                    <w:t>Ⅲ</w:t>
                  </w:r>
                </w:p>
              </w:tc>
              <w:tc>
                <w:tcPr>
                  <w:tcW w:w="1687" w:type="dxa"/>
                  <w:tcBorders>
                    <w:tl2br w:val="nil"/>
                    <w:tr2bl w:val="nil"/>
                  </w:tcBorders>
                  <w:vAlign w:val="center"/>
                </w:tcPr>
                <w:p>
                  <w:pPr>
                    <w:pStyle w:val="167"/>
                    <w:rPr>
                      <w:snapToGrid w:val="0"/>
                    </w:rPr>
                  </w:pPr>
                  <w:r>
                    <w:rPr>
                      <w:snapToGrid w:val="0"/>
                    </w:rPr>
                    <w:t>Ⅲ</w:t>
                  </w:r>
                </w:p>
              </w:tc>
              <w:tc>
                <w:tcPr>
                  <w:tcW w:w="1541" w:type="dxa"/>
                  <w:tcBorders>
                    <w:tl2br w:val="nil"/>
                    <w:tr2bl w:val="nil"/>
                  </w:tcBorders>
                  <w:vAlign w:val="center"/>
                </w:tcPr>
                <w:p>
                  <w:pPr>
                    <w:pStyle w:val="167"/>
                    <w:rPr>
                      <w:snapToGrid w:val="0"/>
                    </w:rPr>
                  </w:pPr>
                  <w:r>
                    <w:rPr>
                      <w:snapToGrid w:val="0"/>
                    </w:rPr>
                    <w:t>Ⅱ</w:t>
                  </w:r>
                </w:p>
              </w:tc>
              <w:tc>
                <w:tcPr>
                  <w:tcW w:w="1646" w:type="dxa"/>
                  <w:tcBorders>
                    <w:tl2br w:val="nil"/>
                    <w:tr2bl w:val="nil"/>
                  </w:tcBorders>
                  <w:vAlign w:val="center"/>
                </w:tcPr>
                <w:p>
                  <w:pPr>
                    <w:pStyle w:val="167"/>
                    <w:rPr>
                      <w:snapToGrid w:val="0"/>
                    </w:rPr>
                  </w:pPr>
                  <w:r>
                    <w:rPr>
                      <w:snapToGrid w:val="0"/>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6" w:type="dxa"/>
                  <w:gridSpan w:val="5"/>
                  <w:tcBorders>
                    <w:tl2br w:val="nil"/>
                    <w:tr2bl w:val="nil"/>
                  </w:tcBorders>
                  <w:vAlign w:val="center"/>
                </w:tcPr>
                <w:p>
                  <w:pPr>
                    <w:pStyle w:val="167"/>
                    <w:rPr>
                      <w:snapToGrid w:val="0"/>
                    </w:rPr>
                  </w:pPr>
                  <w:r>
                    <w:rPr>
                      <w:snapToGrid w:val="0"/>
                    </w:rPr>
                    <w:t>注：Ⅳ+为极高环境风险</w:t>
                  </w:r>
                </w:p>
              </w:tc>
            </w:tr>
          </w:tbl>
          <w:p>
            <w:pPr>
              <w:pStyle w:val="139"/>
              <w:ind w:firstLine="480"/>
            </w:pPr>
            <w:r>
              <w:t>危险物质及工艺系统危险性（P）由危险物质数量与临界量的比值（Q）和所属行业及生产工艺特点（M）判定。</w:t>
            </w:r>
          </w:p>
          <w:p>
            <w:pPr>
              <w:pStyle w:val="139"/>
              <w:ind w:firstLine="480"/>
            </w:pPr>
            <w:r>
              <w:t>首先确定危险物质数量与临界量的比值（Q）</w:t>
            </w:r>
          </w:p>
          <w:p>
            <w:pPr>
              <w:pStyle w:val="139"/>
              <w:ind w:firstLine="480"/>
            </w:pPr>
            <w:r>
              <w:t>根据该技术导则附录B中表B.1突发环境事件风险物质及临界点，附录C中C1.1危险物质数量与临界量比值（Q）的计算有两种情况：</w:t>
            </w:r>
          </w:p>
          <w:p>
            <w:pPr>
              <w:pStyle w:val="139"/>
              <w:ind w:firstLine="480"/>
            </w:pPr>
            <w:r>
              <w:t>a、当只涉及一种危险物质时，计算该物质的总量与其临界量比值，即为 Q；</w:t>
            </w:r>
          </w:p>
          <w:p>
            <w:pPr>
              <w:pStyle w:val="139"/>
              <w:ind w:firstLine="480"/>
            </w:pPr>
            <w:r>
              <w:t>b、当存在多种危险物质时，则按下式计算物质总量与其临界量的比值（Q）：</w:t>
            </w:r>
          </w:p>
          <w:p>
            <w:pPr>
              <w:adjustRightInd w:val="0"/>
              <w:snapToGrid w:val="0"/>
              <w:spacing w:line="351" w:lineRule="auto"/>
              <w:jc w:val="center"/>
              <w:rPr>
                <w:sz w:val="24"/>
              </w:rPr>
            </w:pPr>
            <w:r>
              <w:rPr>
                <w:position w:val="-28"/>
                <w:sz w:val="24"/>
                <w:vertAlign w:val="subscript"/>
              </w:rPr>
              <w:object>
                <v:shape id="_x0000_i1032" o:spt="75" type="#_x0000_t75" style="height:33pt;width:105.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p>
          <w:p>
            <w:pPr>
              <w:pStyle w:val="139"/>
              <w:ind w:firstLine="480"/>
            </w:pPr>
            <w:r>
              <w:rPr>
                <w:kern w:val="0"/>
              </w:rPr>
              <w:t>式中：</w:t>
            </w:r>
            <w:r>
              <w:t>q</w:t>
            </w:r>
            <w:r>
              <w:rPr>
                <w:vertAlign w:val="subscript"/>
              </w:rPr>
              <w:t>1</w:t>
            </w:r>
            <w:r>
              <w:t>，q</w:t>
            </w:r>
            <w:r>
              <w:rPr>
                <w:vertAlign w:val="subscript"/>
              </w:rPr>
              <w:t>2</w:t>
            </w:r>
            <w:r>
              <w:t>，q</w:t>
            </w:r>
            <w:r>
              <w:rPr>
                <w:vertAlign w:val="subscript"/>
              </w:rPr>
              <w:t>n</w:t>
            </w:r>
            <w:r>
              <w:t>——每种危险物质的最大存在总量，t；</w:t>
            </w:r>
          </w:p>
          <w:p>
            <w:pPr>
              <w:pStyle w:val="139"/>
              <w:ind w:firstLine="1200" w:firstLineChars="500"/>
            </w:pPr>
            <w:r>
              <w:t>Q</w:t>
            </w:r>
            <w:r>
              <w:rPr>
                <w:vertAlign w:val="subscript"/>
              </w:rPr>
              <w:t>1</w:t>
            </w:r>
            <w:r>
              <w:t>，Q</w:t>
            </w:r>
            <w:r>
              <w:rPr>
                <w:vertAlign w:val="subscript"/>
              </w:rPr>
              <w:t>2</w:t>
            </w:r>
            <w:r>
              <w:t>，Q</w:t>
            </w:r>
            <w:r>
              <w:rPr>
                <w:vertAlign w:val="subscript"/>
              </w:rPr>
              <w:t>n</w:t>
            </w:r>
            <w:r>
              <w:t>——每种危险物质的临界量，t。</w:t>
            </w:r>
          </w:p>
          <w:p>
            <w:pPr>
              <w:pStyle w:val="139"/>
              <w:ind w:firstLine="1200" w:firstLineChars="500"/>
            </w:pPr>
            <w:r>
              <w:t>当Q&lt;1时，该项目环境风险潜势为I。</w:t>
            </w:r>
          </w:p>
          <w:p>
            <w:pPr>
              <w:pStyle w:val="139"/>
              <w:ind w:firstLine="1200" w:firstLineChars="500"/>
            </w:pPr>
            <w:r>
              <w:t>当Q≥1时，将Q值划分为：（1）1≤Q&lt;10；（2）10≤Q&lt;100；（3）Q≥100。再综合所属行业及生产工艺特点（M）另行判定。</w:t>
            </w:r>
          </w:p>
          <w:p>
            <w:pPr>
              <w:pStyle w:val="139"/>
              <w:ind w:firstLine="480"/>
            </w:pPr>
            <w:r>
              <w:t>对照《建设项目环境风险评价技术导则》（HJ/T169-2018），本项目涉及的突发环境事件风险物质、临界量及Q值，见下表。</w:t>
            </w:r>
          </w:p>
          <w:p>
            <w:pPr>
              <w:pStyle w:val="168"/>
            </w:pPr>
            <w:r>
              <w:t>表4-17   重大危险源识别一览表</w:t>
            </w:r>
          </w:p>
          <w:tbl>
            <w:tblPr>
              <w:tblStyle w:val="28"/>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699"/>
              <w:gridCol w:w="993"/>
              <w:gridCol w:w="1134"/>
              <w:gridCol w:w="1135"/>
              <w:gridCol w:w="184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Align w:val="center"/>
                </w:tcPr>
                <w:p>
                  <w:pPr>
                    <w:pStyle w:val="167"/>
                  </w:pPr>
                  <w:r>
                    <w:t>序号</w:t>
                  </w:r>
                </w:p>
              </w:tc>
              <w:tc>
                <w:tcPr>
                  <w:tcW w:w="1699" w:type="dxa"/>
                  <w:vAlign w:val="center"/>
                </w:tcPr>
                <w:p>
                  <w:pPr>
                    <w:pStyle w:val="167"/>
                  </w:pPr>
                  <w:r>
                    <w:t>名称</w:t>
                  </w:r>
                </w:p>
              </w:tc>
              <w:tc>
                <w:tcPr>
                  <w:tcW w:w="993" w:type="dxa"/>
                  <w:vAlign w:val="center"/>
                </w:tcPr>
                <w:p>
                  <w:pPr>
                    <w:pStyle w:val="167"/>
                  </w:pPr>
                  <w:r>
                    <w:t>最大储存量/在线量/t</w:t>
                  </w:r>
                </w:p>
              </w:tc>
              <w:tc>
                <w:tcPr>
                  <w:tcW w:w="1134" w:type="dxa"/>
                  <w:vAlign w:val="center"/>
                </w:tcPr>
                <w:p>
                  <w:pPr>
                    <w:pStyle w:val="167"/>
                  </w:pPr>
                  <w:r>
                    <w:t>是否为风险物质</w:t>
                  </w:r>
                </w:p>
              </w:tc>
              <w:tc>
                <w:tcPr>
                  <w:tcW w:w="1135" w:type="dxa"/>
                  <w:vAlign w:val="center"/>
                </w:tcPr>
                <w:p>
                  <w:pPr>
                    <w:pStyle w:val="167"/>
                  </w:pPr>
                  <w:r>
                    <w:t>生产场所临界量（t）</w:t>
                  </w:r>
                </w:p>
              </w:tc>
              <w:tc>
                <w:tcPr>
                  <w:tcW w:w="1843" w:type="dxa"/>
                  <w:vAlign w:val="center"/>
                </w:tcPr>
                <w:p>
                  <w:pPr>
                    <w:pStyle w:val="167"/>
                  </w:pPr>
                  <w:r>
                    <w:t>Q（危险物质数量与临界量比值）</w:t>
                  </w:r>
                </w:p>
              </w:tc>
              <w:tc>
                <w:tcPr>
                  <w:tcW w:w="1144" w:type="dxa"/>
                  <w:vAlign w:val="center"/>
                </w:tcPr>
                <w:p>
                  <w:pPr>
                    <w:pStyle w:val="167"/>
                  </w:pPr>
                  <w:r>
                    <w:t>环境风险潜势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Align w:val="center"/>
                </w:tcPr>
                <w:p>
                  <w:pPr>
                    <w:pStyle w:val="167"/>
                  </w:pPr>
                  <w:r>
                    <w:t>1</w:t>
                  </w:r>
                </w:p>
              </w:tc>
              <w:tc>
                <w:tcPr>
                  <w:tcW w:w="1699" w:type="dxa"/>
                  <w:vAlign w:val="center"/>
                </w:tcPr>
                <w:p>
                  <w:pPr>
                    <w:pStyle w:val="167"/>
                  </w:pPr>
                  <w:r>
                    <w:t>废导热油</w:t>
                  </w:r>
                </w:p>
              </w:tc>
              <w:tc>
                <w:tcPr>
                  <w:tcW w:w="993" w:type="dxa"/>
                  <w:vAlign w:val="center"/>
                </w:tcPr>
                <w:p>
                  <w:pPr>
                    <w:pStyle w:val="167"/>
                  </w:pPr>
                  <w:r>
                    <w:t>2.9</w:t>
                  </w:r>
                </w:p>
              </w:tc>
              <w:tc>
                <w:tcPr>
                  <w:tcW w:w="1134" w:type="dxa"/>
                  <w:vAlign w:val="center"/>
                </w:tcPr>
                <w:p>
                  <w:pPr>
                    <w:pStyle w:val="167"/>
                  </w:pPr>
                  <w:r>
                    <w:t>是</w:t>
                  </w:r>
                </w:p>
              </w:tc>
              <w:tc>
                <w:tcPr>
                  <w:tcW w:w="1135" w:type="dxa"/>
                  <w:vMerge w:val="restart"/>
                  <w:vAlign w:val="center"/>
                </w:tcPr>
                <w:p>
                  <w:pPr>
                    <w:pStyle w:val="167"/>
                  </w:pPr>
                  <w:r>
                    <w:t>2500</w:t>
                  </w:r>
                </w:p>
              </w:tc>
              <w:tc>
                <w:tcPr>
                  <w:tcW w:w="1843" w:type="dxa"/>
                  <w:vAlign w:val="center"/>
                </w:tcPr>
                <w:p>
                  <w:pPr>
                    <w:pStyle w:val="167"/>
                  </w:pPr>
                  <w:r>
                    <w:t>0.0016</w:t>
                  </w:r>
                </w:p>
              </w:tc>
              <w:tc>
                <w:tcPr>
                  <w:tcW w:w="1144" w:type="dxa"/>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Align w:val="center"/>
                </w:tcPr>
                <w:p>
                  <w:pPr>
                    <w:pStyle w:val="167"/>
                  </w:pPr>
                  <w:r>
                    <w:t>2</w:t>
                  </w:r>
                </w:p>
              </w:tc>
              <w:tc>
                <w:tcPr>
                  <w:tcW w:w="1699" w:type="dxa"/>
                  <w:vAlign w:val="center"/>
                </w:tcPr>
                <w:p>
                  <w:pPr>
                    <w:pStyle w:val="167"/>
                  </w:pPr>
                  <w:r>
                    <w:t>柴油</w:t>
                  </w:r>
                </w:p>
              </w:tc>
              <w:tc>
                <w:tcPr>
                  <w:tcW w:w="993" w:type="dxa"/>
                  <w:vAlign w:val="center"/>
                </w:tcPr>
                <w:p>
                  <w:pPr>
                    <w:pStyle w:val="167"/>
                  </w:pPr>
                  <w:r>
                    <w:t>5</w:t>
                  </w:r>
                </w:p>
              </w:tc>
              <w:tc>
                <w:tcPr>
                  <w:tcW w:w="1134" w:type="dxa"/>
                  <w:vAlign w:val="center"/>
                </w:tcPr>
                <w:p>
                  <w:pPr>
                    <w:pStyle w:val="167"/>
                  </w:pPr>
                  <w:r>
                    <w:t>是</w:t>
                  </w:r>
                </w:p>
              </w:tc>
              <w:tc>
                <w:tcPr>
                  <w:tcW w:w="1135" w:type="dxa"/>
                  <w:vMerge w:val="continue"/>
                  <w:vAlign w:val="center"/>
                </w:tcPr>
                <w:p>
                  <w:pPr>
                    <w:pStyle w:val="167"/>
                  </w:pPr>
                </w:p>
              </w:tc>
              <w:tc>
                <w:tcPr>
                  <w:tcW w:w="1843" w:type="dxa"/>
                  <w:vAlign w:val="center"/>
                </w:tcPr>
                <w:p>
                  <w:pPr>
                    <w:pStyle w:val="167"/>
                  </w:pPr>
                  <w:r>
                    <w:t>0.002</w:t>
                  </w:r>
                </w:p>
              </w:tc>
              <w:tc>
                <w:tcPr>
                  <w:tcW w:w="1144" w:type="dxa"/>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Align w:val="center"/>
                </w:tcPr>
                <w:p>
                  <w:pPr>
                    <w:pStyle w:val="167"/>
                  </w:pPr>
                  <w:r>
                    <w:t>3</w:t>
                  </w:r>
                </w:p>
              </w:tc>
              <w:tc>
                <w:tcPr>
                  <w:tcW w:w="1699" w:type="dxa"/>
                  <w:vAlign w:val="center"/>
                </w:tcPr>
                <w:p>
                  <w:pPr>
                    <w:pStyle w:val="167"/>
                  </w:pPr>
                  <w:r>
                    <w:t>废润滑油</w:t>
                  </w:r>
                </w:p>
              </w:tc>
              <w:tc>
                <w:tcPr>
                  <w:tcW w:w="993" w:type="dxa"/>
                  <w:vAlign w:val="center"/>
                </w:tcPr>
                <w:p>
                  <w:pPr>
                    <w:pStyle w:val="167"/>
                  </w:pPr>
                  <w:r>
                    <w:t>0.02</w:t>
                  </w:r>
                </w:p>
              </w:tc>
              <w:tc>
                <w:tcPr>
                  <w:tcW w:w="1134" w:type="dxa"/>
                  <w:vAlign w:val="center"/>
                </w:tcPr>
                <w:p>
                  <w:pPr>
                    <w:pStyle w:val="167"/>
                  </w:pPr>
                  <w:r>
                    <w:t>是</w:t>
                  </w:r>
                </w:p>
              </w:tc>
              <w:tc>
                <w:tcPr>
                  <w:tcW w:w="1135" w:type="dxa"/>
                  <w:vMerge w:val="continue"/>
                  <w:vAlign w:val="center"/>
                </w:tcPr>
                <w:p>
                  <w:pPr>
                    <w:pStyle w:val="167"/>
                  </w:pPr>
                </w:p>
              </w:tc>
              <w:tc>
                <w:tcPr>
                  <w:tcW w:w="1843" w:type="dxa"/>
                  <w:vAlign w:val="center"/>
                </w:tcPr>
                <w:p>
                  <w:pPr>
                    <w:pStyle w:val="167"/>
                  </w:pPr>
                  <w:r>
                    <w:t>0.000008</w:t>
                  </w:r>
                </w:p>
              </w:tc>
              <w:tc>
                <w:tcPr>
                  <w:tcW w:w="1144" w:type="dxa"/>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 w:type="dxa"/>
                  <w:vAlign w:val="center"/>
                </w:tcPr>
                <w:p>
                  <w:pPr>
                    <w:pStyle w:val="167"/>
                  </w:pPr>
                  <w:r>
                    <w:t>4</w:t>
                  </w:r>
                </w:p>
              </w:tc>
              <w:tc>
                <w:tcPr>
                  <w:tcW w:w="1699" w:type="dxa"/>
                  <w:vAlign w:val="center"/>
                </w:tcPr>
                <w:p>
                  <w:pPr>
                    <w:pStyle w:val="167"/>
                  </w:pPr>
                  <w:r>
                    <w:t>沥青</w:t>
                  </w:r>
                </w:p>
              </w:tc>
              <w:tc>
                <w:tcPr>
                  <w:tcW w:w="993" w:type="dxa"/>
                  <w:vAlign w:val="center"/>
                </w:tcPr>
                <w:p>
                  <w:pPr>
                    <w:pStyle w:val="167"/>
                  </w:pPr>
                  <w:r>
                    <w:t>43</w:t>
                  </w:r>
                </w:p>
              </w:tc>
              <w:tc>
                <w:tcPr>
                  <w:tcW w:w="1134" w:type="dxa"/>
                  <w:vAlign w:val="center"/>
                </w:tcPr>
                <w:p>
                  <w:pPr>
                    <w:pStyle w:val="167"/>
                  </w:pPr>
                  <w:r>
                    <w:t>是</w:t>
                  </w:r>
                </w:p>
              </w:tc>
              <w:tc>
                <w:tcPr>
                  <w:tcW w:w="1135" w:type="dxa"/>
                  <w:vAlign w:val="center"/>
                </w:tcPr>
                <w:p>
                  <w:pPr>
                    <w:pStyle w:val="167"/>
                  </w:pPr>
                  <w:r>
                    <w:t>50</w:t>
                  </w:r>
                </w:p>
              </w:tc>
              <w:tc>
                <w:tcPr>
                  <w:tcW w:w="1843" w:type="dxa"/>
                  <w:vAlign w:val="center"/>
                </w:tcPr>
                <w:p>
                  <w:pPr>
                    <w:pStyle w:val="167"/>
                  </w:pPr>
                  <w:r>
                    <w:t>0.86</w:t>
                  </w:r>
                </w:p>
              </w:tc>
              <w:tc>
                <w:tcPr>
                  <w:tcW w:w="1144" w:type="dxa"/>
                  <w:vAlign w:val="center"/>
                </w:tcPr>
                <w:p>
                  <w:pPr>
                    <w:pStyle w:val="1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3" w:type="dxa"/>
                  <w:gridSpan w:val="5"/>
                  <w:vAlign w:val="center"/>
                </w:tcPr>
                <w:p>
                  <w:pPr>
                    <w:pStyle w:val="167"/>
                  </w:pPr>
                  <w:r>
                    <w:t>合计</w:t>
                  </w:r>
                </w:p>
              </w:tc>
              <w:tc>
                <w:tcPr>
                  <w:tcW w:w="1843" w:type="dxa"/>
                  <w:vAlign w:val="center"/>
                </w:tcPr>
                <w:p>
                  <w:pPr>
                    <w:pStyle w:val="167"/>
                  </w:pPr>
                  <w:r>
                    <w:t>0.863608</w:t>
                  </w:r>
                </w:p>
              </w:tc>
              <w:tc>
                <w:tcPr>
                  <w:tcW w:w="1144" w:type="dxa"/>
                  <w:vAlign w:val="center"/>
                </w:tcPr>
                <w:p>
                  <w:pPr>
                    <w:pStyle w:val="167"/>
                  </w:pPr>
                  <w:r>
                    <w:t>Ⅰ（Q＜1）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0" w:type="dxa"/>
                  <w:gridSpan w:val="7"/>
                  <w:vAlign w:val="center"/>
                </w:tcPr>
                <w:p>
                  <w:pPr>
                    <w:pStyle w:val="167"/>
                  </w:pPr>
                  <w:r>
                    <w:t>结合项目实际，沥青最大储存量按照年耗量的1/2核算。</w:t>
                  </w:r>
                </w:p>
              </w:tc>
            </w:tr>
          </w:tbl>
          <w:p>
            <w:pPr>
              <w:pStyle w:val="164"/>
            </w:pPr>
            <w:r>
              <w:t>4、评价等级</w:t>
            </w:r>
          </w:p>
          <w:p>
            <w:pPr>
              <w:pStyle w:val="139"/>
              <w:ind w:firstLine="480"/>
            </w:pPr>
            <w:r>
              <w:t>根据《建设项目环境风险评价技术导则》（HJ169-2018）评价等级划分原则，建设项目环境风险评价工作等级判定标准表见下表。</w:t>
            </w:r>
          </w:p>
          <w:p>
            <w:pPr>
              <w:pStyle w:val="168"/>
            </w:pPr>
            <w:r>
              <w:t>表4-18   评价工作等级划分</w:t>
            </w:r>
          </w:p>
          <w:tbl>
            <w:tblPr>
              <w:tblStyle w:val="28"/>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489"/>
              <w:gridCol w:w="1663"/>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6" w:hRule="exact"/>
                <w:jc w:val="center"/>
              </w:trPr>
              <w:tc>
                <w:tcPr>
                  <w:tcW w:w="2306" w:type="dxa"/>
                  <w:shd w:val="clear" w:color="auto" w:fill="auto"/>
                  <w:vAlign w:val="center"/>
                </w:tcPr>
                <w:p>
                  <w:pPr>
                    <w:pStyle w:val="167"/>
                  </w:pPr>
                  <w:r>
                    <w:t>环境风险潜势</w:t>
                  </w:r>
                </w:p>
              </w:tc>
              <w:tc>
                <w:tcPr>
                  <w:tcW w:w="1489" w:type="dxa"/>
                  <w:shd w:val="clear" w:color="auto" w:fill="auto"/>
                  <w:vAlign w:val="center"/>
                </w:tcPr>
                <w:p>
                  <w:pPr>
                    <w:pStyle w:val="167"/>
                  </w:pPr>
                  <w:r>
                    <w:t>Ⅳ、Ⅳ+</w:t>
                  </w:r>
                </w:p>
              </w:tc>
              <w:tc>
                <w:tcPr>
                  <w:tcW w:w="1663" w:type="dxa"/>
                  <w:shd w:val="clear" w:color="auto" w:fill="auto"/>
                  <w:vAlign w:val="center"/>
                </w:tcPr>
                <w:p>
                  <w:pPr>
                    <w:pStyle w:val="167"/>
                  </w:pPr>
                  <w:r>
                    <w:t>Ⅲ</w:t>
                  </w:r>
                </w:p>
              </w:tc>
              <w:tc>
                <w:tcPr>
                  <w:tcW w:w="1501" w:type="dxa"/>
                  <w:shd w:val="clear" w:color="auto" w:fill="auto"/>
                  <w:vAlign w:val="center"/>
                </w:tcPr>
                <w:p>
                  <w:pPr>
                    <w:pStyle w:val="167"/>
                  </w:pPr>
                  <w:r>
                    <w:t>Ⅱ</w:t>
                  </w:r>
                </w:p>
              </w:tc>
              <w:tc>
                <w:tcPr>
                  <w:tcW w:w="1501" w:type="dxa"/>
                  <w:shd w:val="clear" w:color="auto" w:fill="auto"/>
                  <w:vAlign w:val="center"/>
                </w:tcPr>
                <w:p>
                  <w:pPr>
                    <w:pStyle w:val="167"/>
                  </w:pPr>
                  <w: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3" w:hRule="exact"/>
                <w:jc w:val="center"/>
              </w:trPr>
              <w:tc>
                <w:tcPr>
                  <w:tcW w:w="2306" w:type="dxa"/>
                  <w:shd w:val="clear" w:color="auto" w:fill="auto"/>
                  <w:vAlign w:val="center"/>
                </w:tcPr>
                <w:p>
                  <w:pPr>
                    <w:pStyle w:val="167"/>
                  </w:pPr>
                  <w:r>
                    <w:t>评价工作等级</w:t>
                  </w:r>
                </w:p>
              </w:tc>
              <w:tc>
                <w:tcPr>
                  <w:tcW w:w="1489" w:type="dxa"/>
                  <w:shd w:val="clear" w:color="auto" w:fill="auto"/>
                  <w:vAlign w:val="center"/>
                </w:tcPr>
                <w:p>
                  <w:pPr>
                    <w:pStyle w:val="167"/>
                  </w:pPr>
                  <w:r>
                    <w:t>一</w:t>
                  </w:r>
                </w:p>
              </w:tc>
              <w:tc>
                <w:tcPr>
                  <w:tcW w:w="1663" w:type="dxa"/>
                  <w:shd w:val="clear" w:color="auto" w:fill="auto"/>
                  <w:vAlign w:val="center"/>
                </w:tcPr>
                <w:p>
                  <w:pPr>
                    <w:pStyle w:val="167"/>
                  </w:pPr>
                  <w:r>
                    <w:t>二</w:t>
                  </w:r>
                </w:p>
              </w:tc>
              <w:tc>
                <w:tcPr>
                  <w:tcW w:w="1501" w:type="dxa"/>
                  <w:shd w:val="clear" w:color="auto" w:fill="auto"/>
                  <w:vAlign w:val="center"/>
                </w:tcPr>
                <w:p>
                  <w:pPr>
                    <w:pStyle w:val="167"/>
                  </w:pPr>
                  <w:r>
                    <w:t>三</w:t>
                  </w:r>
                </w:p>
              </w:tc>
              <w:tc>
                <w:tcPr>
                  <w:tcW w:w="1501" w:type="dxa"/>
                  <w:shd w:val="clear" w:color="auto" w:fill="auto"/>
                  <w:vAlign w:val="center"/>
                </w:tcPr>
                <w:p>
                  <w:pPr>
                    <w:pStyle w:val="167"/>
                  </w:pPr>
                  <w: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jc w:val="center"/>
              </w:trPr>
              <w:tc>
                <w:tcPr>
                  <w:tcW w:w="8460" w:type="dxa"/>
                  <w:gridSpan w:val="5"/>
                  <w:shd w:val="clear" w:color="auto" w:fill="auto"/>
                  <w:vAlign w:val="center"/>
                </w:tcPr>
                <w:p>
                  <w:pPr>
                    <w:pStyle w:val="167"/>
                  </w:pPr>
                  <w:r>
                    <w:t>简单分析是相对于详细评价工作内容而言，在描述危险物质、环境影响途径、环境危害后果、风险防范措施等方面给出定性的说明</w:t>
                  </w:r>
                </w:p>
              </w:tc>
            </w:tr>
          </w:tbl>
          <w:p>
            <w:pPr>
              <w:pStyle w:val="139"/>
              <w:ind w:firstLine="480"/>
            </w:pPr>
            <w:r>
              <w:t>根据上表的环境风险评价级别划分标准，本项目项目环境风险潜势为Ⅰ，环境风险评价工作等级为：简单分析。</w:t>
            </w:r>
          </w:p>
          <w:p>
            <w:pPr>
              <w:pStyle w:val="164"/>
            </w:pPr>
            <w:r>
              <w:t>4、环境风险分析</w:t>
            </w:r>
          </w:p>
          <w:p>
            <w:pPr>
              <w:pStyle w:val="139"/>
              <w:ind w:firstLine="480"/>
            </w:pPr>
            <w:r>
              <w:t>（1）事故源项分析</w:t>
            </w:r>
          </w:p>
          <w:p>
            <w:pPr>
              <w:pStyle w:val="139"/>
              <w:ind w:firstLine="480"/>
            </w:pPr>
            <w:r>
              <w:t>根据《建设项目环境风险评价技术导则》（HJ/T169-2018），</w:t>
            </w:r>
            <w:r>
              <w:rPr>
                <w:spacing w:val="-2"/>
              </w:rPr>
              <w:t>环境风险潜势为Ⅰ。本</w:t>
            </w:r>
            <w:r>
              <w:t>评价主要对项目营运期间可能存在的危险、有害因素进行分析，并对可能发生的突发性事件及事故所造成的人身安全与环境影响和损害程度，提出合理的可行的防范、应急与减缓措施。</w:t>
            </w:r>
          </w:p>
          <w:p>
            <w:pPr>
              <w:pStyle w:val="139"/>
              <w:ind w:firstLine="480"/>
            </w:pPr>
            <w:r>
              <w:t>本项目可能发生的事故主要有储油桶或拉丝润滑液池破损物料渗漏引起土壤及地下水的污染，根据风险识别，本项目主要存在的事故类型有：</w:t>
            </w:r>
          </w:p>
          <w:p>
            <w:pPr>
              <w:pStyle w:val="139"/>
              <w:ind w:firstLine="480"/>
            </w:pPr>
            <w:r>
              <w:rPr>
                <w:rFonts w:hint="eastAsia" w:ascii="宋体" w:hAnsi="宋体" w:cs="宋体"/>
              </w:rPr>
              <w:t>①</w:t>
            </w:r>
            <w:r>
              <w:t>储油罐或沥青储罐破损油品/沥青渗漏引起土壤及地下水的污染；</w:t>
            </w:r>
          </w:p>
          <w:p>
            <w:pPr>
              <w:pStyle w:val="139"/>
              <w:ind w:firstLine="480"/>
            </w:pPr>
            <w:r>
              <w:rPr>
                <w:rFonts w:hint="eastAsia" w:ascii="宋体" w:hAnsi="宋体" w:cs="宋体"/>
              </w:rPr>
              <w:t>②</w:t>
            </w:r>
            <w:r>
              <w:t>油品溢出或泄漏后遇明火发生火灾、爆炸事故；</w:t>
            </w:r>
          </w:p>
          <w:p>
            <w:pPr>
              <w:pStyle w:val="139"/>
              <w:ind w:firstLine="480"/>
            </w:pPr>
            <w:r>
              <w:t>（2）事故后果分析</w:t>
            </w:r>
          </w:p>
          <w:p>
            <w:pPr>
              <w:pStyle w:val="139"/>
              <w:ind w:firstLine="480"/>
              <w:rPr>
                <w:spacing w:val="-19"/>
              </w:rPr>
            </w:pPr>
            <w:r>
              <w:t>油品发生火灾、爆炸事故引发的次生伴生影响主要体现在火灾或爆炸过程产</w:t>
            </w:r>
            <w:r>
              <w:rPr>
                <w:spacing w:val="-3"/>
              </w:rPr>
              <w:t>生的燃烧产物和灭火过程产生的固废，燃烧产物为</w:t>
            </w:r>
            <w:r>
              <w:t>CO</w:t>
            </w:r>
            <w:r>
              <w:rPr>
                <w:vertAlign w:val="subscript"/>
              </w:rPr>
              <w:t>2</w:t>
            </w:r>
            <w:r>
              <w:t>、CO</w:t>
            </w:r>
            <w:r>
              <w:rPr>
                <w:spacing w:val="-30"/>
              </w:rPr>
              <w:t xml:space="preserve">和 </w:t>
            </w:r>
            <w:r>
              <w:t>H</w:t>
            </w:r>
            <w:r>
              <w:rPr>
                <w:vertAlign w:val="subscript"/>
              </w:rPr>
              <w:t>2</w:t>
            </w:r>
            <w:r>
              <w:t>O</w:t>
            </w:r>
            <w:r>
              <w:rPr>
                <w:spacing w:val="-19"/>
              </w:rPr>
              <w:t>。</w:t>
            </w:r>
          </w:p>
          <w:p>
            <w:pPr>
              <w:pStyle w:val="139"/>
              <w:ind w:firstLine="480"/>
            </w:pPr>
            <w:r>
              <w:t>1）对地表水环境影响分析</w:t>
            </w:r>
          </w:p>
          <w:p>
            <w:pPr>
              <w:pStyle w:val="139"/>
              <w:ind w:firstLine="480"/>
            </w:pPr>
            <w:r>
              <w:rPr>
                <w:rFonts w:hint="eastAsia" w:ascii="宋体" w:hAnsi="宋体" w:cs="宋体"/>
              </w:rPr>
              <w:t>①</w:t>
            </w:r>
            <w:r>
              <w:t>泄漏影响分析</w:t>
            </w:r>
          </w:p>
          <w:p>
            <w:pPr>
              <w:pStyle w:val="139"/>
              <w:ind w:firstLine="472"/>
            </w:pPr>
            <w:r>
              <w:rPr>
                <w:spacing w:val="-2"/>
              </w:rPr>
              <w:t>泄漏或渗漏的油类物质一旦进入地表河流，将造成地表河流的污染</w:t>
            </w:r>
            <w:r>
              <w:rPr>
                <w:spacing w:val="-3"/>
              </w:rPr>
              <w:t>。污染首先将造成地表河流的景观破坏，产生严重的刺鼻性气味；其次，由于有机烃类物质难溶于水，大部分上浮在水层表面，形成一层油膜使空气隔离，造成水</w:t>
            </w:r>
            <w:r>
              <w:rPr>
                <w:spacing w:val="-13"/>
              </w:rPr>
              <w:t>中溶解氧浓度降低，逐渐形成死水，致使水中生物死亡；再次，成品油的主要成分是</w:t>
            </w:r>
            <w:r>
              <w:t>C4～C9的烃类、芳烃类、醇酮类以及卤代烃类有机物，一旦进入水体环境，由于可生化性较差，造成被污染水体长时间得不到净化，完全恢复则需十几年、甚至几十年时间。</w:t>
            </w:r>
          </w:p>
          <w:p>
            <w:pPr>
              <w:pStyle w:val="139"/>
              <w:ind w:firstLine="480"/>
            </w:pPr>
            <w:r>
              <w:rPr>
                <w:rFonts w:hint="eastAsia" w:ascii="宋体" w:hAnsi="宋体" w:cs="宋体"/>
              </w:rPr>
              <w:t>②</w:t>
            </w:r>
            <w:r>
              <w:t>火灾、爆炸影响分析</w:t>
            </w:r>
          </w:p>
          <w:p>
            <w:pPr>
              <w:pStyle w:val="139"/>
              <w:ind w:firstLine="472"/>
            </w:pPr>
            <w:r>
              <w:rPr>
                <w:spacing w:val="-2"/>
              </w:rPr>
              <w:t>风险物质</w:t>
            </w:r>
            <w:r>
              <w:rPr>
                <w:spacing w:val="-4"/>
              </w:rPr>
              <w:t>燃烧、爆炸产生污染物主要为烟尘、</w:t>
            </w:r>
            <w:r>
              <w:t>CO</w:t>
            </w:r>
            <w:r>
              <w:rPr>
                <w:spacing w:val="-30"/>
              </w:rPr>
              <w:t>和</w:t>
            </w:r>
            <w:r>
              <w:t>CO</w:t>
            </w:r>
            <w:r>
              <w:rPr>
                <w:vertAlign w:val="subscript"/>
              </w:rPr>
              <w:t>2</w:t>
            </w:r>
            <w:r>
              <w:rPr>
                <w:spacing w:val="-1"/>
              </w:rPr>
              <w:t>，两种物质均不溶于水。项目内布设灭</w:t>
            </w:r>
            <w:r>
              <w:t>火器为干粉灭火器、消防沙等，发生火灾及灭火过程中项目内不会产生废水。因此项目发生火灾、爆炸事故后对周围水环境影响不大。</w:t>
            </w:r>
          </w:p>
          <w:p>
            <w:pPr>
              <w:pStyle w:val="139"/>
              <w:ind w:firstLine="480"/>
            </w:pPr>
            <w:r>
              <w:t>2）对地下水环境的影响分析</w:t>
            </w:r>
          </w:p>
          <w:p>
            <w:pPr>
              <w:pStyle w:val="139"/>
              <w:ind w:firstLine="468"/>
            </w:pPr>
            <w:r>
              <w:rPr>
                <w:spacing w:val="-3"/>
              </w:rPr>
              <w:t>储油罐和沥青储罐的泄漏或渗漏对地下水的污染较为严重，地下水一旦遭到成品油的污染，将使</w:t>
            </w:r>
            <w:r>
              <w:rPr>
                <w:spacing w:val="-5"/>
              </w:rPr>
              <w:t>地下水产生严重异味，并具有较强的致畸致癌性，无法饮用，又由于这种渗漏必然穿过较</w:t>
            </w:r>
            <w:r>
              <w:t>厚的土层，使土壤层中吸附有大量的燃油料，土壤层吸附的燃料油不仅会造成植物生物的死亡，而且土壤层吸附的燃料还会随着地表水的下渗对土壤层的冲刷补充到地下水，这样即便污染源得到及时控制，地下水要完全恢复也需几十年甚至上百年的时间。</w:t>
            </w:r>
          </w:p>
          <w:p>
            <w:pPr>
              <w:pStyle w:val="139"/>
              <w:ind w:firstLine="480"/>
            </w:pPr>
            <w:r>
              <w:t>3）对大气环境影响分析</w:t>
            </w:r>
          </w:p>
          <w:p>
            <w:pPr>
              <w:pStyle w:val="139"/>
              <w:ind w:firstLine="480"/>
            </w:pPr>
            <w:r>
              <w:rPr>
                <w:rFonts w:hint="eastAsia" w:ascii="宋体" w:hAnsi="宋体" w:cs="宋体"/>
              </w:rPr>
              <w:t>①</w:t>
            </w:r>
            <w:r>
              <w:t>泄漏影响分析</w:t>
            </w:r>
          </w:p>
          <w:p>
            <w:pPr>
              <w:pStyle w:val="139"/>
              <w:ind w:firstLine="480"/>
            </w:pPr>
            <w:r>
              <w:t>根据国内外的研究，对于突发性的事故溢油，油品溢出后在地面呈不规则的面源分布，油品的挥发速度重要影响因素为油品蒸汽压、现场风速、油品溢出面积、油品蒸汽分子平均重度。本项目柴油储罐区、沥青储罐区和废矿物油暂存区设置有收集设施，发生泄漏事故后可及时进行收集处理，不会造成大量扩散，对大气环境影响较小。</w:t>
            </w:r>
          </w:p>
          <w:p>
            <w:pPr>
              <w:pStyle w:val="139"/>
              <w:ind w:firstLine="480"/>
            </w:pPr>
            <w:r>
              <w:rPr>
                <w:rFonts w:hint="eastAsia" w:ascii="宋体" w:hAnsi="宋体" w:cs="宋体"/>
              </w:rPr>
              <w:t>②</w:t>
            </w:r>
            <w:r>
              <w:t>火灾、爆炸产生的污染物对人和环境的影响分析</w:t>
            </w:r>
          </w:p>
          <w:p>
            <w:pPr>
              <w:pStyle w:val="139"/>
              <w:ind w:firstLine="480"/>
            </w:pPr>
            <w:r>
              <w:t>矿物油和沥青</w:t>
            </w:r>
            <w:r>
              <w:rPr>
                <w:spacing w:val="-4"/>
              </w:rPr>
              <w:t>燃烧、爆炸产生污染物主要为烟尘、</w:t>
            </w:r>
            <w:r>
              <w:t>CO</w:t>
            </w:r>
            <w:r>
              <w:rPr>
                <w:spacing w:val="-30"/>
              </w:rPr>
              <w:t>和</w:t>
            </w:r>
            <w:r>
              <w:t>CO</w:t>
            </w:r>
            <w:r>
              <w:rPr>
                <w:vertAlign w:val="subscript"/>
              </w:rPr>
              <w:t>2</w:t>
            </w:r>
            <w:r>
              <w:t>。CO在大气中比较稳定，不易与其他物质产生化学反应，其在进入大气后，由于大气的扩散稀释作用和氧化作用，一般不会造成危害，所以吸入时不为人们所察觉，是室内外空气中常见的污染物。当其浓度过高时，人在这种环境下待的时间较长，就会出现晕眩、头痛、怠倦的现象，CO对人的主要危害就是引起组织缺氧，导致急性或者慢性中毒甚至有死亡的威胁。此外，CO还可能造成听力与视力的损害，比如视野的减小或者听力的丧失。二氧化碳对环境影响主要为温室效应。根据前面分析，项目出现火灾、爆炸事故概率较小，排放的一氧化碳、二氧化碳、烟尘经大气稀释、扩散后对周边大气环境影响较小。</w:t>
            </w:r>
          </w:p>
          <w:p>
            <w:pPr>
              <w:pStyle w:val="164"/>
            </w:pPr>
            <w:r>
              <w:t>5、环境风险防范措施及应急要求</w:t>
            </w:r>
          </w:p>
          <w:p>
            <w:pPr>
              <w:pStyle w:val="139"/>
              <w:ind w:firstLine="480"/>
            </w:pPr>
            <w:r>
              <w:t>（1）风险防范措施</w:t>
            </w:r>
          </w:p>
          <w:p>
            <w:pPr>
              <w:pStyle w:val="139"/>
              <w:ind w:firstLine="480"/>
            </w:pPr>
            <w:r>
              <w:t>1）火灾爆炸风险防范措施：</w:t>
            </w:r>
          </w:p>
          <w:p>
            <w:pPr>
              <w:pStyle w:val="139"/>
              <w:ind w:firstLine="480"/>
            </w:pPr>
            <w:r>
              <w:rPr>
                <w:rFonts w:hint="eastAsia" w:ascii="宋体" w:hAnsi="宋体" w:cs="宋体"/>
              </w:rPr>
              <w:t>①</w:t>
            </w:r>
            <w:r>
              <w:t>车间按规范配置灭火器材和消防装备；</w:t>
            </w:r>
          </w:p>
          <w:p>
            <w:pPr>
              <w:pStyle w:val="139"/>
              <w:ind w:firstLine="480"/>
            </w:pPr>
            <w:r>
              <w:rPr>
                <w:rFonts w:hint="eastAsia" w:ascii="宋体" w:hAnsi="宋体" w:cs="宋体"/>
              </w:rPr>
              <w:t>②</w:t>
            </w:r>
            <w:r>
              <w:t>在生产区域明显位置张贴禁用明火的告示，加强油类物质存放区域的巡查。</w:t>
            </w:r>
          </w:p>
          <w:p>
            <w:pPr>
              <w:pStyle w:val="139"/>
              <w:ind w:firstLine="480"/>
            </w:pPr>
            <w:r>
              <w:rPr>
                <w:rFonts w:hint="eastAsia" w:ascii="宋体" w:hAnsi="宋体" w:cs="宋体"/>
              </w:rPr>
              <w:t>③</w:t>
            </w:r>
            <w:r>
              <w:t>工作人员要熟练掌握操作技术和防火安全管理规定；</w:t>
            </w:r>
          </w:p>
          <w:p>
            <w:pPr>
              <w:pStyle w:val="139"/>
              <w:ind w:firstLine="480"/>
            </w:pPr>
            <w:r>
              <w:rPr>
                <w:rFonts w:hint="eastAsia" w:ascii="宋体" w:hAnsi="宋体" w:cs="宋体"/>
              </w:rPr>
              <w:t>④</w:t>
            </w:r>
            <w:r>
              <w:t>定期检查材料存储的安全状态，以防止泄漏引发火灾、爆炸。</w:t>
            </w:r>
          </w:p>
          <w:p>
            <w:pPr>
              <w:pStyle w:val="139"/>
              <w:ind w:firstLine="480"/>
            </w:pPr>
            <w:r>
              <w:t>2）危险物质泄漏防范措施</w:t>
            </w:r>
          </w:p>
          <w:p>
            <w:pPr>
              <w:pStyle w:val="139"/>
              <w:ind w:firstLine="480"/>
            </w:pPr>
            <w:r>
              <w:rPr>
                <w:rFonts w:hint="eastAsia" w:ascii="宋体" w:hAnsi="宋体" w:cs="宋体"/>
              </w:rPr>
              <w:t>①</w:t>
            </w:r>
            <w:r>
              <w:t>柴油储罐区、沥青储罐区及危险废物暂存间进行重点防渗；</w:t>
            </w:r>
          </w:p>
          <w:p>
            <w:pPr>
              <w:pStyle w:val="139"/>
              <w:ind w:firstLine="480"/>
            </w:pPr>
            <w:r>
              <w:rPr>
                <w:rFonts w:hint="eastAsia" w:ascii="宋体" w:hAnsi="宋体" w:cs="宋体"/>
              </w:rPr>
              <w:t>②</w:t>
            </w:r>
            <w:r>
              <w:t>油罐区应做好周边防护措施，如设置一定高度围堰，防范危险物质泄漏蔓延到周边区域；</w:t>
            </w:r>
          </w:p>
          <w:p>
            <w:pPr>
              <w:pStyle w:val="139"/>
              <w:ind w:firstLine="480"/>
            </w:pPr>
            <w:r>
              <w:rPr>
                <w:rFonts w:hint="eastAsia" w:ascii="宋体" w:hAnsi="宋体" w:cs="宋体"/>
              </w:rPr>
              <w:t>③</w:t>
            </w:r>
            <w:r>
              <w:t>定期检查危险物质存储的安全状态，检查其包装有无破损，以防止泄漏。</w:t>
            </w:r>
          </w:p>
          <w:p>
            <w:pPr>
              <w:pStyle w:val="139"/>
              <w:ind w:firstLine="480"/>
            </w:pPr>
            <w:r>
              <w:rPr>
                <w:rFonts w:hint="eastAsia" w:ascii="宋体" w:hAnsi="宋体" w:cs="宋体"/>
              </w:rPr>
              <w:t>④</w:t>
            </w:r>
            <w:r>
              <w:t>建立健全安全、环境管理体系及高效的安全生产机构，一旦发生事故，要做到快速、高效、安全处置。</w:t>
            </w:r>
          </w:p>
          <w:p>
            <w:pPr>
              <w:pStyle w:val="139"/>
              <w:ind w:firstLine="480"/>
            </w:pPr>
            <w:r>
              <w:t>（2）应急要求</w:t>
            </w:r>
          </w:p>
          <w:p>
            <w:pPr>
              <w:pStyle w:val="139"/>
              <w:ind w:firstLine="480"/>
            </w:pPr>
            <w:r>
              <w:t>项目取得环评批复后，应按照环发﹝2015﹞4号文《企业事业单位突发环境事件应急预案备案管理办法（试行）》中第二、三章的要求编制应急预案，报生态环境主管部门备案。</w:t>
            </w:r>
          </w:p>
          <w:p>
            <w:pPr>
              <w:pStyle w:val="139"/>
              <w:ind w:firstLine="480"/>
            </w:pPr>
            <w:r>
              <w:t>项目应急预案必须与地方政府突发环境应急预案有效对接及联动。当发生突发环境事件时，按应急预案要求，认真落实各项应急措施，做到责任到位、落实到人、常备不懈。</w:t>
            </w:r>
          </w:p>
          <w:p>
            <w:pPr>
              <w:pStyle w:val="168"/>
            </w:pPr>
            <w:r>
              <w:t>表4-19   建设项目环境风险简单分析内容表</w:t>
            </w:r>
          </w:p>
          <w:tbl>
            <w:tblPr>
              <w:tblStyle w:val="28"/>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5" w:type="dxa"/>
                  <w:vAlign w:val="center"/>
                </w:tcPr>
                <w:p>
                  <w:pPr>
                    <w:pStyle w:val="167"/>
                  </w:pPr>
                  <w:r>
                    <w:t>建设项目名称</w:t>
                  </w:r>
                </w:p>
              </w:tc>
              <w:tc>
                <w:tcPr>
                  <w:tcW w:w="6781" w:type="dxa"/>
                  <w:vAlign w:val="center"/>
                </w:tcPr>
                <w:p>
                  <w:pPr>
                    <w:pStyle w:val="167"/>
                  </w:pPr>
                  <w:r>
                    <w:t>云龙公路分局沥青拌合站新建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5" w:type="dxa"/>
                  <w:vAlign w:val="center"/>
                </w:tcPr>
                <w:p>
                  <w:pPr>
                    <w:pStyle w:val="167"/>
                  </w:pPr>
                  <w:r>
                    <w:t>建设地点</w:t>
                  </w:r>
                </w:p>
              </w:tc>
              <w:tc>
                <w:tcPr>
                  <w:tcW w:w="6781" w:type="dxa"/>
                  <w:vAlign w:val="center"/>
                </w:tcPr>
                <w:p>
                  <w:pPr>
                    <w:pStyle w:val="167"/>
                  </w:pPr>
                  <w:r>
                    <w:t>大理白族自治州云龙县团结乡河南箐口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5" w:type="dxa"/>
                  <w:vAlign w:val="center"/>
                </w:tcPr>
                <w:p>
                  <w:pPr>
                    <w:pStyle w:val="167"/>
                  </w:pPr>
                  <w:r>
                    <w:t>地理坐标</w:t>
                  </w:r>
                </w:p>
              </w:tc>
              <w:tc>
                <w:tcPr>
                  <w:tcW w:w="6781" w:type="dxa"/>
                  <w:vAlign w:val="center"/>
                </w:tcPr>
                <w:p>
                  <w:pPr>
                    <w:pStyle w:val="167"/>
                  </w:pPr>
                  <w:r>
                    <w:t>（E 99°37′43.339″，N 25°41′15.026″）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5" w:type="dxa"/>
                  <w:vAlign w:val="center"/>
                </w:tcPr>
                <w:p>
                  <w:pPr>
                    <w:pStyle w:val="167"/>
                  </w:pPr>
                  <w:r>
                    <w:t>主要危险物质及分布</w:t>
                  </w:r>
                </w:p>
              </w:tc>
              <w:tc>
                <w:tcPr>
                  <w:tcW w:w="6781" w:type="dxa"/>
                  <w:vAlign w:val="center"/>
                </w:tcPr>
                <w:p>
                  <w:pPr>
                    <w:pStyle w:val="167"/>
                  </w:pPr>
                  <w:r>
                    <w:t>项目原辅材料：柴油、润滑油、导热油、沥青属于危险化学品，含有有毒物质、易燃物质、爆炸性物质和活性化学物质等危险性物质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5" w:type="dxa"/>
                  <w:vAlign w:val="center"/>
                </w:tcPr>
                <w:p>
                  <w:pPr>
                    <w:pStyle w:val="167"/>
                  </w:pPr>
                  <w:r>
                    <w:t>环境影响途径及危害后果</w:t>
                  </w:r>
                </w:p>
                <w:p>
                  <w:pPr>
                    <w:pStyle w:val="167"/>
                  </w:pPr>
                  <w:r>
                    <w:t>（大气、地表水、地下水等）</w:t>
                  </w:r>
                </w:p>
              </w:tc>
              <w:tc>
                <w:tcPr>
                  <w:tcW w:w="6781" w:type="dxa"/>
                  <w:vAlign w:val="center"/>
                </w:tcPr>
                <w:p>
                  <w:pPr>
                    <w:pStyle w:val="139"/>
                    <w:ind w:firstLine="420"/>
                    <w:rPr>
                      <w:sz w:val="21"/>
                      <w:szCs w:val="21"/>
                    </w:rPr>
                  </w:pPr>
                  <w:r>
                    <w:rPr>
                      <w:sz w:val="21"/>
                      <w:szCs w:val="21"/>
                    </w:rPr>
                    <w:t>影响途径：</w:t>
                  </w:r>
                </w:p>
                <w:p>
                  <w:pPr>
                    <w:pStyle w:val="139"/>
                    <w:ind w:firstLine="420"/>
                    <w:rPr>
                      <w:sz w:val="21"/>
                      <w:szCs w:val="21"/>
                    </w:rPr>
                  </w:pPr>
                  <w:r>
                    <w:rPr>
                      <w:sz w:val="21"/>
                      <w:szCs w:val="21"/>
                    </w:rPr>
                    <w:t>（1）矿物油和沥青发生大量泄漏处理不及时将污染地表水环境；火灾消防产生的消防废水收集不当会污染地表水环境。</w:t>
                  </w:r>
                </w:p>
                <w:p>
                  <w:pPr>
                    <w:pStyle w:val="139"/>
                    <w:ind w:firstLine="420"/>
                    <w:rPr>
                      <w:sz w:val="21"/>
                      <w:szCs w:val="21"/>
                    </w:rPr>
                  </w:pPr>
                  <w:r>
                    <w:rPr>
                      <w:sz w:val="21"/>
                      <w:szCs w:val="21"/>
                    </w:rPr>
                    <w:t>（2）矿物油和沥青遇明火发生火灾事故，对大气环境造成影响。</w:t>
                  </w:r>
                </w:p>
                <w:p>
                  <w:pPr>
                    <w:pStyle w:val="139"/>
                    <w:ind w:firstLine="420"/>
                    <w:rPr>
                      <w:sz w:val="21"/>
                      <w:szCs w:val="21"/>
                    </w:rPr>
                  </w:pPr>
                  <w:r>
                    <w:rPr>
                      <w:sz w:val="21"/>
                      <w:szCs w:val="21"/>
                    </w:rPr>
                    <w:t>危害后果：</w:t>
                  </w:r>
                </w:p>
                <w:p>
                  <w:pPr>
                    <w:pStyle w:val="139"/>
                    <w:ind w:firstLine="420"/>
                    <w:rPr>
                      <w:sz w:val="21"/>
                      <w:szCs w:val="21"/>
                    </w:rPr>
                  </w:pPr>
                  <w:r>
                    <w:rPr>
                      <w:sz w:val="21"/>
                      <w:szCs w:val="21"/>
                    </w:rPr>
                    <w:t>1）大气环境风险分析</w:t>
                  </w:r>
                </w:p>
                <w:p>
                  <w:pPr>
                    <w:pStyle w:val="139"/>
                    <w:ind w:firstLine="420"/>
                    <w:rPr>
                      <w:sz w:val="21"/>
                      <w:szCs w:val="21"/>
                    </w:rPr>
                  </w:pPr>
                  <w:r>
                    <w:rPr>
                      <w:sz w:val="21"/>
                      <w:szCs w:val="21"/>
                    </w:rPr>
                    <w:t>矿物油和沥青遇明火发生火灾事故，产生烟尘、CO和CO2等污染物，排放到大气环境中 会污染大气环境。</w:t>
                  </w:r>
                </w:p>
                <w:p>
                  <w:pPr>
                    <w:pStyle w:val="139"/>
                    <w:ind w:firstLine="420"/>
                    <w:rPr>
                      <w:sz w:val="21"/>
                      <w:szCs w:val="21"/>
                    </w:rPr>
                  </w:pPr>
                  <w:r>
                    <w:rPr>
                      <w:sz w:val="21"/>
                      <w:szCs w:val="21"/>
                    </w:rPr>
                    <w:t>2）地表水、地下水环境风险分析</w:t>
                  </w:r>
                </w:p>
                <w:p>
                  <w:pPr>
                    <w:pStyle w:val="139"/>
                    <w:ind w:firstLine="420"/>
                  </w:pPr>
                  <w:r>
                    <w:rPr>
                      <w:sz w:val="21"/>
                      <w:szCs w:val="21"/>
                    </w:rPr>
                    <w:t>矿物油和沥青泄漏一旦进入周边地表水体，将造成地表水体的污染，由于废矿物油难溶于水，大部分上浮在水层表面，形成一层油膜使空气隔离，造成水中溶解氧浓度降低，逐渐形成死水，致使水中生物死亡。且矿物油遇明火发生火灾事故时需使用大量水来灭火，此过程会产生大量消防废水，消防废水一旦进入周边地表水体，将造成地表水体的污染。由于本项目废矿物油一旦发生泄漏能够得到及时有效的处理，尽可能的将泄漏的矿物油控制在项目区内，一般不会直接进入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5" w:type="dxa"/>
                  <w:vAlign w:val="center"/>
                </w:tcPr>
                <w:p>
                  <w:pPr>
                    <w:pStyle w:val="167"/>
                  </w:pPr>
                  <w:r>
                    <w:t>风险防范</w:t>
                  </w:r>
                </w:p>
                <w:p>
                  <w:pPr>
                    <w:pStyle w:val="167"/>
                  </w:pPr>
                  <w:r>
                    <w:t>措施要求</w:t>
                  </w:r>
                </w:p>
              </w:tc>
              <w:tc>
                <w:tcPr>
                  <w:tcW w:w="6781" w:type="dxa"/>
                  <w:vAlign w:val="center"/>
                </w:tcPr>
                <w:p>
                  <w:pPr>
                    <w:pStyle w:val="139"/>
                    <w:ind w:firstLine="420"/>
                    <w:rPr>
                      <w:sz w:val="21"/>
                      <w:szCs w:val="21"/>
                    </w:rPr>
                  </w:pPr>
                  <w:r>
                    <w:rPr>
                      <w:sz w:val="21"/>
                      <w:szCs w:val="21"/>
                    </w:rPr>
                    <w:t>1、严格按照安全规范及国家相关规定对厂区内原辅材料的储备使用加强管理；</w:t>
                  </w:r>
                </w:p>
                <w:p>
                  <w:pPr>
                    <w:pStyle w:val="139"/>
                    <w:ind w:firstLine="420"/>
                    <w:rPr>
                      <w:sz w:val="21"/>
                      <w:szCs w:val="21"/>
                    </w:rPr>
                  </w:pPr>
                  <w:r>
                    <w:rPr>
                      <w:sz w:val="21"/>
                      <w:szCs w:val="21"/>
                    </w:rPr>
                    <w:t>2、加强对环保设备的日常检修与维护，安排专人负责环保工作，并对企业员工进行定期环保知识培训，加强环保意识。项目产生的废气须经相应废气处理装置处理后达标排放，废气处理装置失效时，应及时停止相应的生产活动；</w:t>
                  </w:r>
                </w:p>
                <w:p>
                  <w:pPr>
                    <w:pStyle w:val="139"/>
                    <w:ind w:firstLine="420"/>
                    <w:rPr>
                      <w:sz w:val="21"/>
                      <w:szCs w:val="21"/>
                    </w:rPr>
                  </w:pPr>
                  <w:r>
                    <w:rPr>
                      <w:sz w:val="21"/>
                      <w:szCs w:val="21"/>
                    </w:rPr>
                    <w:t>3、危险废物暂存间严格按照《危险废物贮存污染控制标准》（GB18597-2023）进行建设，危险废物暂存间作防渗处理，收集点采取“防渗、防雨、防流失”等措施，定期交由有资质单位处理，在转移过程中实行“联单管理”制度。</w:t>
                  </w:r>
                </w:p>
                <w:p>
                  <w:pPr>
                    <w:pStyle w:val="139"/>
                    <w:ind w:firstLine="420"/>
                    <w:rPr>
                      <w:sz w:val="21"/>
                      <w:szCs w:val="21"/>
                    </w:rPr>
                  </w:pPr>
                  <w:r>
                    <w:rPr>
                      <w:sz w:val="21"/>
                      <w:szCs w:val="21"/>
                    </w:rPr>
                    <w:t>4、应尽可能避免或减少废物的产生。产品、溶液和其副产品的处置应符合环境保护、废弃物处理法规和当地相关法规的要求。经由特许的废弃物处理合同商处理剩余物与非再生产品。废物不应未经处置就排入下水道，除非完全符合所有管辖权内主管机构的要求。包装废弃物应回收。仅在回收利用不可行时，才考虑焚烧或填埋。采用安全的方法处理本品及其容器。操作处置没有清洁或冲洗的空容器时，应小心处理。空的容器或内衬可能保留一些产品的残余物。不得切割、焊接或碾磨用过的容器，除非已被彻底清洁内部。避免溢出物扩散和流走，避免溢出物接触进入土壤、河流、下水道和污水管道。</w:t>
                  </w:r>
                </w:p>
                <w:p>
                  <w:pPr>
                    <w:pStyle w:val="139"/>
                    <w:ind w:firstLine="420"/>
                    <w:rPr>
                      <w:sz w:val="21"/>
                      <w:szCs w:val="21"/>
                    </w:rPr>
                  </w:pPr>
                  <w:r>
                    <w:rPr>
                      <w:sz w:val="21"/>
                      <w:szCs w:val="21"/>
                    </w:rPr>
                    <w:t>5、设置危险固废管理台账，如实记载危险废物的来源、数量、特性、包装容器类别、入库日期、存放库位。贮存期间，定期对存储容器进行检查，及时更换破损容器。</w:t>
                  </w:r>
                </w:p>
                <w:p>
                  <w:pPr>
                    <w:pStyle w:val="139"/>
                    <w:ind w:firstLine="420"/>
                    <w:rPr>
                      <w:sz w:val="21"/>
                      <w:szCs w:val="21"/>
                    </w:rPr>
                  </w:pPr>
                  <w:r>
                    <w:rPr>
                      <w:sz w:val="21"/>
                      <w:szCs w:val="21"/>
                    </w:rPr>
                    <w:t>6、加强对生产车间、危险废物暂存间的监督管理，通过专人定时巡查、安装视频监控系统、每天上下班检查设备等方式，遏制可能发生的突发环境事故隐患。</w:t>
                  </w:r>
                </w:p>
                <w:p>
                  <w:pPr>
                    <w:pStyle w:val="139"/>
                    <w:ind w:firstLine="420"/>
                    <w:rPr>
                      <w:sz w:val="21"/>
                      <w:szCs w:val="21"/>
                    </w:rPr>
                  </w:pPr>
                  <w:r>
                    <w:rPr>
                      <w:sz w:val="21"/>
                      <w:szCs w:val="21"/>
                    </w:rPr>
                    <w:t>7、设置备用电源、备用处理设备和零件，以备停电或设备出现故障时保障及时更换，使废气能及时处理。</w:t>
                  </w:r>
                </w:p>
                <w:p>
                  <w:pPr>
                    <w:pStyle w:val="139"/>
                    <w:ind w:firstLine="420"/>
                  </w:pPr>
                  <w:r>
                    <w:rPr>
                      <w:sz w:val="21"/>
                      <w:szCs w:val="21"/>
                    </w:rPr>
                    <w:t>8、厂区配备消防器材，加强厂内管理，严禁明火，对厂区电力设备经常检查。</w:t>
                  </w:r>
                </w:p>
              </w:tc>
            </w:tr>
          </w:tbl>
          <w:p>
            <w:pPr>
              <w:pStyle w:val="139"/>
              <w:ind w:firstLine="480"/>
            </w:pPr>
            <w:r>
              <w:t>根据以上分析，本项目环境风险潜势划分为I，项目环境风险评价等级为简单分析，项目环境风险在做好应急防范措施的基础上是可控的，可将环境风险事故发生的概率降低到最低。</w:t>
            </w:r>
          </w:p>
          <w:p>
            <w:pPr>
              <w:pStyle w:val="164"/>
            </w:pPr>
            <w:r>
              <w:t>6、结论</w:t>
            </w:r>
          </w:p>
          <w:p>
            <w:pPr>
              <w:pStyle w:val="139"/>
              <w:ind w:firstLine="480"/>
              <w:rPr>
                <w:b/>
              </w:rPr>
            </w:pPr>
            <w: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pPr>
              <w:pStyle w:val="139"/>
              <w:ind w:firstLine="480"/>
            </w:pPr>
            <w:r>
              <w:t>综上所述，本项目风险处于完全可接受的水平，其风险管理措施有效、可靠，从防范风险角度分析是可行的。</w:t>
            </w:r>
          </w:p>
          <w:p>
            <w:pPr>
              <w:pStyle w:val="164"/>
            </w:pPr>
            <w:r>
              <w:t>7、环境监测及竣工验收</w:t>
            </w:r>
          </w:p>
          <w:p>
            <w:pPr>
              <w:spacing w:line="360" w:lineRule="auto"/>
              <w:ind w:firstLine="482" w:firstLineChars="200"/>
              <w:rPr>
                <w:b/>
                <w:sz w:val="24"/>
              </w:rPr>
            </w:pPr>
            <w:r>
              <w:rPr>
                <w:b/>
                <w:sz w:val="24"/>
              </w:rPr>
              <w:fldChar w:fldCharType="begin"/>
            </w:r>
            <w:r>
              <w:rPr>
                <w:b/>
                <w:sz w:val="24"/>
              </w:rPr>
              <w:instrText xml:space="preserve"> = 1 \* GB3 </w:instrText>
            </w:r>
            <w:r>
              <w:rPr>
                <w:b/>
                <w:sz w:val="24"/>
              </w:rPr>
              <w:fldChar w:fldCharType="separate"/>
            </w:r>
            <w:r>
              <w:rPr>
                <w:rFonts w:hint="eastAsia" w:ascii="宋体" w:hAnsi="宋体" w:cs="宋体"/>
                <w:b/>
                <w:sz w:val="24"/>
              </w:rPr>
              <w:t>①</w:t>
            </w:r>
            <w:r>
              <w:rPr>
                <w:b/>
                <w:sz w:val="24"/>
              </w:rPr>
              <w:fldChar w:fldCharType="end"/>
            </w:r>
            <w:r>
              <w:rPr>
                <w:b/>
                <w:sz w:val="24"/>
              </w:rPr>
              <w:t>项目环境监测</w:t>
            </w:r>
          </w:p>
          <w:p>
            <w:pPr>
              <w:spacing w:line="360" w:lineRule="auto"/>
              <w:ind w:firstLine="480" w:firstLineChars="200"/>
            </w:pPr>
            <w:r>
              <w:rPr>
                <w:sz w:val="24"/>
              </w:rPr>
              <w:t>根据项目污染物产生及排放特征，根据《排污单位自行监测技术指南 总则》（HJ819-2017）、《排污许可证申请与核发技术规范 工业炉窑》（HJ1121-2020）、《排污许可证申请与核发技术规范 石墨及其他非金属矿物制品制造》（HJ1119-2020）中的相关规定，本项目投入运行后，各污染源监测因子、监测频率情况详见下表。</w:t>
            </w:r>
          </w:p>
          <w:p>
            <w:pPr>
              <w:jc w:val="center"/>
              <w:rPr>
                <w:b/>
                <w:bCs/>
                <w:szCs w:val="21"/>
              </w:rPr>
            </w:pPr>
            <w:r>
              <w:rPr>
                <w:b/>
                <w:bCs/>
                <w:szCs w:val="21"/>
              </w:rPr>
              <w:t>表4-20   项目运营期环境监测计划表</w:t>
            </w:r>
          </w:p>
          <w:tbl>
            <w:tblPr>
              <w:tblStyle w:val="28"/>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57"/>
              <w:gridCol w:w="1125"/>
              <w:gridCol w:w="1267"/>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2" w:hRule="atLeast"/>
                <w:jc w:val="center"/>
              </w:trPr>
              <w:tc>
                <w:tcPr>
                  <w:tcW w:w="653" w:type="dxa"/>
                  <w:vAlign w:val="center"/>
                </w:tcPr>
                <w:p>
                  <w:pPr>
                    <w:pStyle w:val="167"/>
                  </w:pPr>
                  <w:r>
                    <w:t>检测项目</w:t>
                  </w:r>
                </w:p>
              </w:tc>
              <w:tc>
                <w:tcPr>
                  <w:tcW w:w="1557" w:type="dxa"/>
                  <w:vAlign w:val="center"/>
                </w:tcPr>
                <w:p>
                  <w:pPr>
                    <w:pStyle w:val="167"/>
                  </w:pPr>
                  <w:r>
                    <w:t>监测点位</w:t>
                  </w:r>
                </w:p>
              </w:tc>
              <w:tc>
                <w:tcPr>
                  <w:tcW w:w="1125" w:type="dxa"/>
                  <w:vAlign w:val="center"/>
                </w:tcPr>
                <w:p>
                  <w:pPr>
                    <w:pStyle w:val="167"/>
                  </w:pPr>
                  <w:r>
                    <w:t>监测指标</w:t>
                  </w:r>
                </w:p>
              </w:tc>
              <w:tc>
                <w:tcPr>
                  <w:tcW w:w="1267" w:type="dxa"/>
                  <w:vAlign w:val="center"/>
                </w:tcPr>
                <w:p>
                  <w:pPr>
                    <w:pStyle w:val="167"/>
                  </w:pPr>
                  <w:r>
                    <w:t>监测频次</w:t>
                  </w:r>
                </w:p>
              </w:tc>
              <w:tc>
                <w:tcPr>
                  <w:tcW w:w="3858" w:type="dxa"/>
                  <w:vAlign w:val="center"/>
                </w:tcPr>
                <w:p>
                  <w:pPr>
                    <w:pStyle w:val="167"/>
                  </w:pPr>
                  <w: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653" w:type="dxa"/>
                  <w:vMerge w:val="restart"/>
                  <w:vAlign w:val="center"/>
                </w:tcPr>
                <w:p>
                  <w:pPr>
                    <w:pStyle w:val="167"/>
                  </w:pPr>
                  <w:r>
                    <w:t>大气环境</w:t>
                  </w:r>
                </w:p>
              </w:tc>
              <w:tc>
                <w:tcPr>
                  <w:tcW w:w="1557" w:type="dxa"/>
                  <w:vAlign w:val="center"/>
                </w:tcPr>
                <w:p>
                  <w:pPr>
                    <w:pStyle w:val="167"/>
                  </w:pPr>
                  <w:r>
                    <w:t>厂界上风向1#、下风向2#、下风向3#、下风向4#</w:t>
                  </w:r>
                </w:p>
              </w:tc>
              <w:tc>
                <w:tcPr>
                  <w:tcW w:w="1125" w:type="dxa"/>
                  <w:vAlign w:val="center"/>
                </w:tcPr>
                <w:p>
                  <w:pPr>
                    <w:pStyle w:val="167"/>
                  </w:pPr>
                  <w:r>
                    <w:t>非甲烷总烃、颗粒物、沥青烟、苯丙[a]芘</w:t>
                  </w:r>
                </w:p>
              </w:tc>
              <w:tc>
                <w:tcPr>
                  <w:tcW w:w="1267" w:type="dxa"/>
                  <w:vAlign w:val="center"/>
                </w:tcPr>
                <w:p>
                  <w:pPr>
                    <w:pStyle w:val="167"/>
                  </w:pPr>
                  <w:r>
                    <w:t>1次/年</w:t>
                  </w:r>
                </w:p>
              </w:tc>
              <w:tc>
                <w:tcPr>
                  <w:tcW w:w="3858" w:type="dxa"/>
                  <w:vAlign w:val="center"/>
                </w:tcPr>
                <w:p>
                  <w:pPr>
                    <w:pStyle w:val="167"/>
                  </w:pPr>
                  <w:r>
                    <w:t>《大气污染物综合排放标准》（GB16297-1996）中标准限值；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53" w:type="dxa"/>
                  <w:vMerge w:val="continue"/>
                  <w:vAlign w:val="center"/>
                </w:tcPr>
                <w:p>
                  <w:pPr>
                    <w:pStyle w:val="167"/>
                  </w:pPr>
                </w:p>
              </w:tc>
              <w:tc>
                <w:tcPr>
                  <w:tcW w:w="1557" w:type="dxa"/>
                  <w:vMerge w:val="restart"/>
                  <w:vAlign w:val="center"/>
                </w:tcPr>
                <w:p>
                  <w:pPr>
                    <w:pStyle w:val="167"/>
                  </w:pPr>
                  <w:r>
                    <w:t>排气筒（DA001）</w:t>
                  </w:r>
                </w:p>
              </w:tc>
              <w:tc>
                <w:tcPr>
                  <w:tcW w:w="1125" w:type="dxa"/>
                  <w:vAlign w:val="center"/>
                </w:tcPr>
                <w:p>
                  <w:pPr>
                    <w:pStyle w:val="167"/>
                  </w:pPr>
                  <w:r>
                    <w:t>烟（粉）尘</w:t>
                  </w:r>
                </w:p>
              </w:tc>
              <w:tc>
                <w:tcPr>
                  <w:tcW w:w="1267" w:type="dxa"/>
                  <w:vAlign w:val="center"/>
                </w:tcPr>
                <w:p>
                  <w:pPr>
                    <w:pStyle w:val="167"/>
                  </w:pPr>
                  <w:r>
                    <w:t>1次/半年</w:t>
                  </w:r>
                </w:p>
              </w:tc>
              <w:tc>
                <w:tcPr>
                  <w:tcW w:w="3858" w:type="dxa"/>
                  <w:vMerge w:val="restart"/>
                  <w:vAlign w:val="center"/>
                </w:tcPr>
                <w:p>
                  <w:pPr>
                    <w:pStyle w:val="167"/>
                  </w:pPr>
                  <w:r>
                    <w:t>《工业炉窑大气污染物排放标准》（GB 16297-1996）二级标准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53" w:type="dxa"/>
                  <w:vMerge w:val="continue"/>
                  <w:vAlign w:val="center"/>
                </w:tcPr>
                <w:p>
                  <w:pPr>
                    <w:pStyle w:val="167"/>
                  </w:pPr>
                </w:p>
              </w:tc>
              <w:tc>
                <w:tcPr>
                  <w:tcW w:w="1557" w:type="dxa"/>
                  <w:vMerge w:val="continue"/>
                  <w:vAlign w:val="center"/>
                </w:tcPr>
                <w:p>
                  <w:pPr>
                    <w:pStyle w:val="167"/>
                  </w:pPr>
                </w:p>
              </w:tc>
              <w:tc>
                <w:tcPr>
                  <w:tcW w:w="1125" w:type="dxa"/>
                  <w:vAlign w:val="center"/>
                </w:tcPr>
                <w:p>
                  <w:pPr>
                    <w:pStyle w:val="167"/>
                  </w:pPr>
                  <w:r>
                    <w:t>二氧化硫</w:t>
                  </w:r>
                </w:p>
              </w:tc>
              <w:tc>
                <w:tcPr>
                  <w:tcW w:w="1267" w:type="dxa"/>
                  <w:vAlign w:val="center"/>
                </w:tcPr>
                <w:p>
                  <w:pPr>
                    <w:pStyle w:val="167"/>
                  </w:pPr>
                  <w:r>
                    <w:t>1次/半年</w:t>
                  </w:r>
                </w:p>
              </w:tc>
              <w:tc>
                <w:tcPr>
                  <w:tcW w:w="3858"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53" w:type="dxa"/>
                  <w:vMerge w:val="continue"/>
                  <w:vAlign w:val="center"/>
                </w:tcPr>
                <w:p>
                  <w:pPr>
                    <w:pStyle w:val="167"/>
                  </w:pPr>
                </w:p>
              </w:tc>
              <w:tc>
                <w:tcPr>
                  <w:tcW w:w="1557" w:type="dxa"/>
                  <w:vMerge w:val="continue"/>
                  <w:vAlign w:val="center"/>
                </w:tcPr>
                <w:p>
                  <w:pPr>
                    <w:pStyle w:val="167"/>
                  </w:pPr>
                </w:p>
              </w:tc>
              <w:tc>
                <w:tcPr>
                  <w:tcW w:w="1125" w:type="dxa"/>
                  <w:vAlign w:val="center"/>
                </w:tcPr>
                <w:p>
                  <w:pPr>
                    <w:pStyle w:val="167"/>
                  </w:pPr>
                  <w:r>
                    <w:t>氮氧化物</w:t>
                  </w:r>
                </w:p>
              </w:tc>
              <w:tc>
                <w:tcPr>
                  <w:tcW w:w="1267" w:type="dxa"/>
                  <w:vAlign w:val="center"/>
                </w:tcPr>
                <w:p>
                  <w:pPr>
                    <w:pStyle w:val="167"/>
                  </w:pPr>
                  <w:r>
                    <w:t>1次/半年</w:t>
                  </w:r>
                </w:p>
              </w:tc>
              <w:tc>
                <w:tcPr>
                  <w:tcW w:w="3858" w:type="dxa"/>
                  <w:vAlign w:val="center"/>
                </w:tcPr>
                <w:p>
                  <w:pPr>
                    <w:pStyle w:val="167"/>
                  </w:pPr>
                  <w:r>
                    <w:t>《大气污染物综合排放标准》（GB16297-1996）“表2”二级排放标准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53" w:type="dxa"/>
                  <w:vMerge w:val="continue"/>
                  <w:vAlign w:val="center"/>
                </w:tcPr>
                <w:p>
                  <w:pPr>
                    <w:pStyle w:val="167"/>
                  </w:pPr>
                </w:p>
              </w:tc>
              <w:tc>
                <w:tcPr>
                  <w:tcW w:w="1557" w:type="dxa"/>
                  <w:vMerge w:val="restart"/>
                  <w:vAlign w:val="center"/>
                </w:tcPr>
                <w:p>
                  <w:pPr>
                    <w:pStyle w:val="167"/>
                  </w:pPr>
                  <w:r>
                    <w:t>排气筒（DA002）</w:t>
                  </w:r>
                </w:p>
              </w:tc>
              <w:tc>
                <w:tcPr>
                  <w:tcW w:w="1125" w:type="dxa"/>
                  <w:vAlign w:val="center"/>
                </w:tcPr>
                <w:p>
                  <w:pPr>
                    <w:pStyle w:val="167"/>
                  </w:pPr>
                  <w:r>
                    <w:t>非甲烷总烃</w:t>
                  </w:r>
                </w:p>
              </w:tc>
              <w:tc>
                <w:tcPr>
                  <w:tcW w:w="1267" w:type="dxa"/>
                  <w:vAlign w:val="center"/>
                </w:tcPr>
                <w:p>
                  <w:pPr>
                    <w:pStyle w:val="167"/>
                  </w:pPr>
                  <w:r>
                    <w:t>1次/年</w:t>
                  </w:r>
                </w:p>
              </w:tc>
              <w:tc>
                <w:tcPr>
                  <w:tcW w:w="3858" w:type="dxa"/>
                  <w:vMerge w:val="restart"/>
                  <w:vAlign w:val="center"/>
                </w:tcPr>
                <w:p>
                  <w:pPr>
                    <w:pStyle w:val="167"/>
                  </w:pPr>
                  <w:r>
                    <w:t>《大气污染物综合排放标准》（GB16297-1996）“表2”二级排放标准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53" w:type="dxa"/>
                  <w:vMerge w:val="continue"/>
                  <w:vAlign w:val="center"/>
                </w:tcPr>
                <w:p>
                  <w:pPr>
                    <w:pStyle w:val="167"/>
                  </w:pPr>
                </w:p>
              </w:tc>
              <w:tc>
                <w:tcPr>
                  <w:tcW w:w="1557" w:type="dxa"/>
                  <w:vMerge w:val="continue"/>
                  <w:vAlign w:val="center"/>
                </w:tcPr>
                <w:p>
                  <w:pPr>
                    <w:pStyle w:val="167"/>
                  </w:pPr>
                </w:p>
              </w:tc>
              <w:tc>
                <w:tcPr>
                  <w:tcW w:w="1125" w:type="dxa"/>
                  <w:vAlign w:val="center"/>
                </w:tcPr>
                <w:p>
                  <w:pPr>
                    <w:pStyle w:val="167"/>
                  </w:pPr>
                  <w:r>
                    <w:t>沥青烟</w:t>
                  </w:r>
                </w:p>
              </w:tc>
              <w:tc>
                <w:tcPr>
                  <w:tcW w:w="1267" w:type="dxa"/>
                  <w:vAlign w:val="center"/>
                </w:tcPr>
                <w:p>
                  <w:pPr>
                    <w:pStyle w:val="167"/>
                  </w:pPr>
                  <w:r>
                    <w:t>1次/年</w:t>
                  </w:r>
                </w:p>
              </w:tc>
              <w:tc>
                <w:tcPr>
                  <w:tcW w:w="3858"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53" w:type="dxa"/>
                  <w:vMerge w:val="continue"/>
                  <w:vAlign w:val="center"/>
                </w:tcPr>
                <w:p>
                  <w:pPr>
                    <w:pStyle w:val="167"/>
                  </w:pPr>
                </w:p>
              </w:tc>
              <w:tc>
                <w:tcPr>
                  <w:tcW w:w="1557" w:type="dxa"/>
                  <w:vMerge w:val="continue"/>
                  <w:vAlign w:val="center"/>
                </w:tcPr>
                <w:p>
                  <w:pPr>
                    <w:pStyle w:val="167"/>
                  </w:pPr>
                </w:p>
              </w:tc>
              <w:tc>
                <w:tcPr>
                  <w:tcW w:w="1125" w:type="dxa"/>
                  <w:vAlign w:val="center"/>
                </w:tcPr>
                <w:p>
                  <w:pPr>
                    <w:pStyle w:val="167"/>
                  </w:pPr>
                  <w:r>
                    <w:t>苯并[a]芘</w:t>
                  </w:r>
                </w:p>
              </w:tc>
              <w:tc>
                <w:tcPr>
                  <w:tcW w:w="1267" w:type="dxa"/>
                  <w:vAlign w:val="center"/>
                </w:tcPr>
                <w:p>
                  <w:pPr>
                    <w:pStyle w:val="167"/>
                  </w:pPr>
                  <w:r>
                    <w:t>1次/年</w:t>
                  </w:r>
                </w:p>
              </w:tc>
              <w:tc>
                <w:tcPr>
                  <w:tcW w:w="3858" w:type="dxa"/>
                  <w:vMerge w:val="continue"/>
                  <w:vAlign w:val="center"/>
                </w:tcPr>
                <w:p>
                  <w:pPr>
                    <w:pStyle w:val="1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53" w:type="dxa"/>
                  <w:vAlign w:val="center"/>
                </w:tcPr>
                <w:p>
                  <w:pPr>
                    <w:pStyle w:val="167"/>
                  </w:pPr>
                  <w:r>
                    <w:t>声环境</w:t>
                  </w:r>
                </w:p>
              </w:tc>
              <w:tc>
                <w:tcPr>
                  <w:tcW w:w="1557" w:type="dxa"/>
                  <w:vAlign w:val="center"/>
                </w:tcPr>
                <w:p>
                  <w:pPr>
                    <w:pStyle w:val="167"/>
                  </w:pPr>
                  <w:r>
                    <w:t>项目区厂界东、西、南、北界外1m处布点监测</w:t>
                  </w:r>
                </w:p>
              </w:tc>
              <w:tc>
                <w:tcPr>
                  <w:tcW w:w="1125" w:type="dxa"/>
                  <w:vAlign w:val="center"/>
                </w:tcPr>
                <w:p>
                  <w:pPr>
                    <w:pStyle w:val="167"/>
                  </w:pPr>
                  <w:r>
                    <w:t>等效声级Leq（dB（A））</w:t>
                  </w:r>
                </w:p>
              </w:tc>
              <w:tc>
                <w:tcPr>
                  <w:tcW w:w="1267" w:type="dxa"/>
                  <w:vAlign w:val="center"/>
                </w:tcPr>
                <w:p>
                  <w:pPr>
                    <w:pStyle w:val="167"/>
                  </w:pPr>
                  <w:r>
                    <w:t>1次/季度（项目仅第二、第四季度运行，故每年监测2次）</w:t>
                  </w:r>
                </w:p>
              </w:tc>
              <w:tc>
                <w:tcPr>
                  <w:tcW w:w="3858" w:type="dxa"/>
                  <w:vAlign w:val="center"/>
                </w:tcPr>
                <w:p>
                  <w:pPr>
                    <w:pStyle w:val="167"/>
                    <w:rPr>
                      <w:spacing w:val="-10"/>
                    </w:rPr>
                  </w:pPr>
                  <w:r>
                    <w:rPr>
                      <w:lang w:val="zh-CN"/>
                    </w:rPr>
                    <w:t>《工业企业厂界环境噪声排放标准》（GB12348-2008）2类标准</w:t>
                  </w:r>
                </w:p>
              </w:tc>
            </w:tr>
          </w:tbl>
          <w:p>
            <w:pPr>
              <w:spacing w:line="360" w:lineRule="auto"/>
              <w:ind w:firstLine="482" w:firstLineChars="200"/>
              <w:rPr>
                <w:b/>
                <w:sz w:val="24"/>
              </w:rPr>
            </w:pPr>
            <w:r>
              <w:rPr>
                <w:b/>
                <w:sz w:val="24"/>
              </w:rPr>
              <w:fldChar w:fldCharType="begin"/>
            </w:r>
            <w:r>
              <w:rPr>
                <w:b/>
                <w:sz w:val="24"/>
              </w:rPr>
              <w:instrText xml:space="preserve"> = 2 \* GB3 </w:instrText>
            </w:r>
            <w:r>
              <w:rPr>
                <w:b/>
                <w:sz w:val="24"/>
              </w:rPr>
              <w:fldChar w:fldCharType="separate"/>
            </w:r>
            <w:r>
              <w:rPr>
                <w:rFonts w:hint="eastAsia" w:ascii="宋体" w:hAnsi="宋体" w:cs="宋体"/>
                <w:b/>
                <w:sz w:val="24"/>
              </w:rPr>
              <w:t>②</w:t>
            </w:r>
            <w:r>
              <w:rPr>
                <w:b/>
                <w:sz w:val="24"/>
              </w:rPr>
              <w:fldChar w:fldCharType="end"/>
            </w:r>
            <w:r>
              <w:rPr>
                <w:b/>
                <w:sz w:val="24"/>
              </w:rPr>
              <w:t>项目竣工环境保护验收</w:t>
            </w:r>
          </w:p>
          <w:p>
            <w:pPr>
              <w:pStyle w:val="139"/>
              <w:ind w:firstLine="480"/>
            </w:pPr>
            <w:r>
              <w:t>根据《排污许可管理办法（试行）》（2019年8月22日实施）规定，项目在环保主管部门下达环评批复后，建设单位应按照《排污许可证申请与核发技术规范》要求申请并取得排污许可证。</w:t>
            </w:r>
          </w:p>
          <w:p>
            <w:pPr>
              <w:pStyle w:val="139"/>
              <w:ind w:firstLine="480"/>
            </w:pPr>
            <w:r>
              <w:t>按国务院关于修改《建设项目环境保护管理条例》的决定（中华人民共和国国务院令第 682号），编制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建设项目环境保护竣工验收具体要求见《建设项目竣工环境保护验收暂行办法》（国环规环评[2017]4号），本项目以污染影响类为主，可参考生态环保部9号令《建设项目竣工环境保护验收技术指南 污染影响类》规定编制验收报告。项目环境保护竣工验收内容见下表。</w:t>
            </w:r>
          </w:p>
          <w:p>
            <w:pPr>
              <w:jc w:val="center"/>
              <w:rPr>
                <w:b/>
                <w:bCs/>
                <w:szCs w:val="21"/>
              </w:rPr>
            </w:pPr>
            <w:r>
              <w:rPr>
                <w:b/>
                <w:bCs/>
                <w:szCs w:val="21"/>
              </w:rPr>
              <w:t>表4-21   项目环境保护竣工验收内容一览表</w:t>
            </w:r>
          </w:p>
          <w:tbl>
            <w:tblPr>
              <w:tblStyle w:val="2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60"/>
              <w:gridCol w:w="1189"/>
              <w:gridCol w:w="3541"/>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427" w:type="dxa"/>
                  <w:vAlign w:val="center"/>
                </w:tcPr>
                <w:p>
                  <w:pPr>
                    <w:jc w:val="center"/>
                    <w:rPr>
                      <w:b/>
                      <w:bCs/>
                      <w:szCs w:val="21"/>
                    </w:rPr>
                  </w:pPr>
                  <w:r>
                    <w:rPr>
                      <w:b/>
                      <w:bCs/>
                      <w:szCs w:val="21"/>
                    </w:rPr>
                    <w:t>类别</w:t>
                  </w:r>
                </w:p>
              </w:tc>
              <w:tc>
                <w:tcPr>
                  <w:tcW w:w="1360" w:type="dxa"/>
                  <w:vAlign w:val="center"/>
                </w:tcPr>
                <w:p>
                  <w:pPr>
                    <w:jc w:val="center"/>
                    <w:rPr>
                      <w:b/>
                      <w:bCs/>
                      <w:szCs w:val="21"/>
                    </w:rPr>
                  </w:pPr>
                  <w:r>
                    <w:rPr>
                      <w:b/>
                      <w:bCs/>
                      <w:szCs w:val="21"/>
                    </w:rPr>
                    <w:t>产污环节</w:t>
                  </w:r>
                </w:p>
              </w:tc>
              <w:tc>
                <w:tcPr>
                  <w:tcW w:w="1189" w:type="dxa"/>
                  <w:vAlign w:val="center"/>
                </w:tcPr>
                <w:p>
                  <w:pPr>
                    <w:jc w:val="center"/>
                    <w:rPr>
                      <w:b/>
                      <w:bCs/>
                      <w:szCs w:val="21"/>
                    </w:rPr>
                  </w:pPr>
                  <w:r>
                    <w:rPr>
                      <w:b/>
                      <w:bCs/>
                      <w:szCs w:val="21"/>
                    </w:rPr>
                    <w:t>主要污染物</w:t>
                  </w:r>
                </w:p>
              </w:tc>
              <w:tc>
                <w:tcPr>
                  <w:tcW w:w="3541" w:type="dxa"/>
                  <w:vAlign w:val="center"/>
                </w:tcPr>
                <w:p>
                  <w:pPr>
                    <w:jc w:val="center"/>
                    <w:rPr>
                      <w:b/>
                      <w:bCs/>
                      <w:szCs w:val="21"/>
                    </w:rPr>
                  </w:pPr>
                  <w:r>
                    <w:rPr>
                      <w:b/>
                      <w:bCs/>
                      <w:szCs w:val="21"/>
                    </w:rPr>
                    <w:t>治理措施</w:t>
                  </w:r>
                </w:p>
              </w:tc>
              <w:tc>
                <w:tcPr>
                  <w:tcW w:w="1943" w:type="dxa"/>
                  <w:vAlign w:val="center"/>
                </w:tcPr>
                <w:p>
                  <w:pPr>
                    <w:jc w:val="center"/>
                    <w:rPr>
                      <w:b/>
                      <w:bCs/>
                      <w:szCs w:val="21"/>
                    </w:rPr>
                  </w:pPr>
                  <w:r>
                    <w:rPr>
                      <w:b/>
                      <w:bCs/>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427" w:type="dxa"/>
                  <w:vMerge w:val="restart"/>
                  <w:vAlign w:val="center"/>
                </w:tcPr>
                <w:p>
                  <w:pPr>
                    <w:jc w:val="center"/>
                    <w:rPr>
                      <w:szCs w:val="21"/>
                    </w:rPr>
                  </w:pPr>
                  <w:r>
                    <w:rPr>
                      <w:szCs w:val="21"/>
                    </w:rPr>
                    <w:t>废气</w:t>
                  </w:r>
                </w:p>
              </w:tc>
              <w:tc>
                <w:tcPr>
                  <w:tcW w:w="1360" w:type="dxa"/>
                  <w:vAlign w:val="center"/>
                </w:tcPr>
                <w:p>
                  <w:pPr>
                    <w:jc w:val="center"/>
                    <w:rPr>
                      <w:szCs w:val="21"/>
                    </w:rPr>
                  </w:pPr>
                  <w:r>
                    <w:rPr>
                      <w:szCs w:val="21"/>
                    </w:rPr>
                    <w:t>骨料提升机、热骨料仓、干燥滚筒、油气两用燃烧器</w:t>
                  </w:r>
                </w:p>
              </w:tc>
              <w:tc>
                <w:tcPr>
                  <w:tcW w:w="1189" w:type="dxa"/>
                  <w:vAlign w:val="center"/>
                </w:tcPr>
                <w:p>
                  <w:pPr>
                    <w:pStyle w:val="167"/>
                    <w:rPr>
                      <w:szCs w:val="21"/>
                    </w:rPr>
                  </w:pPr>
                  <w:r>
                    <w:rPr>
                      <w:szCs w:val="21"/>
                    </w:rPr>
                    <w:t>烟（粉）尘、SO</w:t>
                  </w:r>
                  <w:r>
                    <w:rPr>
                      <w:szCs w:val="21"/>
                      <w:vertAlign w:val="subscript"/>
                    </w:rPr>
                    <w:t>2</w:t>
                  </w:r>
                  <w:r>
                    <w:rPr>
                      <w:szCs w:val="21"/>
                    </w:rPr>
                    <w:t>、NOx、</w:t>
                  </w:r>
                  <w:r>
                    <w:t>烟气黑度（林格曼级）</w:t>
                  </w:r>
                </w:p>
              </w:tc>
              <w:tc>
                <w:tcPr>
                  <w:tcW w:w="3541" w:type="dxa"/>
                  <w:vAlign w:val="center"/>
                </w:tcPr>
                <w:p>
                  <w:pPr>
                    <w:jc w:val="center"/>
                    <w:rPr>
                      <w:szCs w:val="21"/>
                    </w:rPr>
                  </w:pPr>
                  <w:r>
                    <w:rPr>
                      <w:szCs w:val="21"/>
                    </w:rPr>
                    <w:t>1套两级除尘系统（重力除尘和大气反吹式布袋除尘器结合）处理后，经1根15m高排气筒（DA001）有组织排放</w:t>
                  </w:r>
                </w:p>
              </w:tc>
              <w:tc>
                <w:tcPr>
                  <w:tcW w:w="1943" w:type="dxa"/>
                  <w:vAlign w:val="center"/>
                </w:tcPr>
                <w:p>
                  <w:pPr>
                    <w:jc w:val="center"/>
                    <w:rPr>
                      <w:szCs w:val="21"/>
                    </w:rPr>
                  </w:pPr>
                  <w:r>
                    <w:rPr>
                      <w:szCs w:val="21"/>
                    </w:rPr>
                    <w:t>烟（粉）尘、</w:t>
                  </w:r>
                  <w:r>
                    <w:t>烟气黑度（林格曼级）、</w:t>
                  </w:r>
                  <w:r>
                    <w:rPr>
                      <w:szCs w:val="21"/>
                    </w:rPr>
                    <w:t>二氧化硫排放浓度达到《工业炉窑大气污染物排放标准》（GB 16297-1996）二级标准限值要求其中氨氧化物排放浓度达到《大气污染物综合排放标准》（GB 16297-1996）级标准要求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427" w:type="dxa"/>
                  <w:vMerge w:val="continue"/>
                  <w:vAlign w:val="center"/>
                </w:tcPr>
                <w:p>
                  <w:pPr>
                    <w:jc w:val="center"/>
                    <w:rPr>
                      <w:szCs w:val="21"/>
                    </w:rPr>
                  </w:pPr>
                </w:p>
              </w:tc>
              <w:tc>
                <w:tcPr>
                  <w:tcW w:w="1360" w:type="dxa"/>
                  <w:vAlign w:val="center"/>
                </w:tcPr>
                <w:p>
                  <w:pPr>
                    <w:jc w:val="center"/>
                    <w:rPr>
                      <w:szCs w:val="21"/>
                    </w:rPr>
                  </w:pPr>
                  <w:r>
                    <w:rPr>
                      <w:szCs w:val="21"/>
                    </w:rPr>
                    <w:t>封闭式搅拌缸卸料口、</w:t>
                  </w:r>
                </w:p>
                <w:p>
                  <w:pPr>
                    <w:jc w:val="center"/>
                    <w:rPr>
                      <w:szCs w:val="21"/>
                    </w:rPr>
                  </w:pPr>
                  <w:r>
                    <w:rPr>
                      <w:szCs w:val="21"/>
                    </w:rPr>
                    <w:t>沥青储罐</w:t>
                  </w:r>
                </w:p>
              </w:tc>
              <w:tc>
                <w:tcPr>
                  <w:tcW w:w="1189" w:type="dxa"/>
                  <w:vAlign w:val="center"/>
                </w:tcPr>
                <w:p>
                  <w:pPr>
                    <w:jc w:val="center"/>
                    <w:rPr>
                      <w:szCs w:val="21"/>
                    </w:rPr>
                  </w:pPr>
                  <w:r>
                    <w:rPr>
                      <w:szCs w:val="21"/>
                    </w:rPr>
                    <w:t>非甲烷总烃、沥青烟、苯并[a]芘</w:t>
                  </w:r>
                </w:p>
              </w:tc>
              <w:tc>
                <w:tcPr>
                  <w:tcW w:w="3541" w:type="dxa"/>
                  <w:vAlign w:val="center"/>
                </w:tcPr>
                <w:p>
                  <w:pPr>
                    <w:jc w:val="center"/>
                    <w:rPr>
                      <w:szCs w:val="21"/>
                    </w:rPr>
                  </w:pPr>
                  <w:r>
                    <w:rPr>
                      <w:szCs w:val="21"/>
                    </w:rPr>
                    <w:t>沥青预处理工序废气经沥青诸存罐呼吸孔设置排气烟道收集，搅拌工序、放料工序废气经搅拌机卸料口设置集气罩收集，收集后的有机废气和沥青烟气经“喷淋塔+活性炭二级吸附装置"处理后，经1根15m高排气筒（DA002）有组织排放</w:t>
                  </w:r>
                </w:p>
              </w:tc>
              <w:tc>
                <w:tcPr>
                  <w:tcW w:w="1943" w:type="dxa"/>
                  <w:vAlign w:val="center"/>
                </w:tcPr>
                <w:p>
                  <w:pPr>
                    <w:jc w:val="center"/>
                    <w:rPr>
                      <w:szCs w:val="21"/>
                    </w:rPr>
                  </w:pPr>
                  <w:r>
                    <w:rPr>
                      <w:szCs w:val="21"/>
                    </w:rPr>
                    <w:t>沥青烟气排放执行《大气污染物综合排放标准》（GB16297-1996）“表2”二级排放标准和无组织排放监控浓度限值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427" w:type="dxa"/>
                  <w:vMerge w:val="continue"/>
                  <w:vAlign w:val="center"/>
                </w:tcPr>
                <w:p>
                  <w:pPr>
                    <w:jc w:val="center"/>
                    <w:rPr>
                      <w:szCs w:val="21"/>
                    </w:rPr>
                  </w:pPr>
                </w:p>
              </w:tc>
              <w:tc>
                <w:tcPr>
                  <w:tcW w:w="1360" w:type="dxa"/>
                  <w:vAlign w:val="center"/>
                </w:tcPr>
                <w:p>
                  <w:pPr>
                    <w:pStyle w:val="146"/>
                    <w:rPr>
                      <w:b w:val="0"/>
                      <w:color w:val="auto"/>
                      <w:sz w:val="21"/>
                      <w:szCs w:val="21"/>
                    </w:rPr>
                  </w:pPr>
                  <w:r>
                    <w:rPr>
                      <w:b w:val="0"/>
                      <w:color w:val="auto"/>
                      <w:sz w:val="21"/>
                      <w:szCs w:val="21"/>
                    </w:rPr>
                    <w:t>投料</w:t>
                  </w:r>
                </w:p>
              </w:tc>
              <w:tc>
                <w:tcPr>
                  <w:tcW w:w="1189" w:type="dxa"/>
                  <w:vAlign w:val="center"/>
                </w:tcPr>
                <w:p>
                  <w:pPr>
                    <w:pStyle w:val="146"/>
                    <w:rPr>
                      <w:b w:val="0"/>
                      <w:color w:val="auto"/>
                      <w:sz w:val="21"/>
                      <w:szCs w:val="21"/>
                    </w:rPr>
                  </w:pPr>
                  <w:r>
                    <w:rPr>
                      <w:b w:val="0"/>
                      <w:color w:val="auto"/>
                      <w:sz w:val="21"/>
                      <w:szCs w:val="21"/>
                    </w:rPr>
                    <w:t>TSP</w:t>
                  </w:r>
                </w:p>
              </w:tc>
              <w:tc>
                <w:tcPr>
                  <w:tcW w:w="3541" w:type="dxa"/>
                  <w:vAlign w:val="center"/>
                </w:tcPr>
                <w:p>
                  <w:pPr>
                    <w:pStyle w:val="146"/>
                    <w:rPr>
                      <w:b w:val="0"/>
                      <w:color w:val="auto"/>
                      <w:sz w:val="21"/>
                      <w:szCs w:val="21"/>
                    </w:rPr>
                  </w:pPr>
                  <w:r>
                    <w:rPr>
                      <w:b w:val="0"/>
                      <w:color w:val="auto"/>
                      <w:sz w:val="21"/>
                      <w:szCs w:val="21"/>
                    </w:rPr>
                    <w:t>皮带给料器（料斗）采用彩钢瓦进行三面封闭，并加装喷淋装置，投料作业时对投料粉尘进行洒水喷湿降尘；</w:t>
                  </w:r>
                </w:p>
              </w:tc>
              <w:tc>
                <w:tcPr>
                  <w:tcW w:w="1943" w:type="dxa"/>
                  <w:vAlign w:val="center"/>
                </w:tcPr>
                <w:p>
                  <w:pPr>
                    <w:pStyle w:val="146"/>
                    <w:rPr>
                      <w:b w:val="0"/>
                      <w:color w:val="auto"/>
                      <w:sz w:val="21"/>
                      <w:szCs w:val="21"/>
                    </w:rPr>
                  </w:pPr>
                  <w:r>
                    <w:rPr>
                      <w:b w:val="0"/>
                      <w:color w:val="auto"/>
                      <w:sz w:val="21"/>
                      <w:szCs w:val="21"/>
                    </w:rPr>
                    <w:t>TSP排放执行《大气污染物综合排放标准》（GB 16297-1996）中“表2”中无组织排放监控浓度限值要求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427" w:type="dxa"/>
                  <w:vMerge w:val="restart"/>
                  <w:vAlign w:val="center"/>
                </w:tcPr>
                <w:p>
                  <w:pPr>
                    <w:jc w:val="center"/>
                    <w:rPr>
                      <w:szCs w:val="21"/>
                    </w:rPr>
                  </w:pPr>
                  <w:r>
                    <w:rPr>
                      <w:szCs w:val="21"/>
                    </w:rPr>
                    <w:t>废水</w:t>
                  </w:r>
                </w:p>
              </w:tc>
              <w:tc>
                <w:tcPr>
                  <w:tcW w:w="1360" w:type="dxa"/>
                  <w:vAlign w:val="center"/>
                </w:tcPr>
                <w:p>
                  <w:pPr>
                    <w:jc w:val="center"/>
                    <w:rPr>
                      <w:szCs w:val="21"/>
                    </w:rPr>
                  </w:pPr>
                  <w:r>
                    <w:rPr>
                      <w:szCs w:val="21"/>
                    </w:rPr>
                    <w:t>喷淋塔循环废水</w:t>
                  </w:r>
                </w:p>
              </w:tc>
              <w:tc>
                <w:tcPr>
                  <w:tcW w:w="1189" w:type="dxa"/>
                  <w:vMerge w:val="restart"/>
                  <w:vAlign w:val="center"/>
                </w:tcPr>
                <w:p>
                  <w:pPr>
                    <w:pStyle w:val="146"/>
                    <w:rPr>
                      <w:b w:val="0"/>
                      <w:color w:val="auto"/>
                      <w:sz w:val="21"/>
                      <w:szCs w:val="21"/>
                    </w:rPr>
                  </w:pPr>
                  <w:r>
                    <w:rPr>
                      <w:b w:val="0"/>
                      <w:color w:val="auto"/>
                      <w:sz w:val="21"/>
                      <w:szCs w:val="21"/>
                    </w:rPr>
                    <w:t>CODcr</w:t>
                  </w:r>
                  <w:r>
                    <w:rPr>
                      <w:b w:val="0"/>
                      <w:color w:val="auto"/>
                      <w:sz w:val="21"/>
                      <w:szCs w:val="21"/>
                      <w:lang w:bidi="ar"/>
                    </w:rPr>
                    <w:t>、</w:t>
                  </w:r>
                  <w:r>
                    <w:rPr>
                      <w:b w:val="0"/>
                      <w:color w:val="auto"/>
                      <w:sz w:val="21"/>
                      <w:szCs w:val="21"/>
                    </w:rPr>
                    <w:t>BOD</w:t>
                  </w:r>
                  <w:r>
                    <w:rPr>
                      <w:b w:val="0"/>
                      <w:color w:val="auto"/>
                      <w:sz w:val="21"/>
                      <w:szCs w:val="21"/>
                      <w:vertAlign w:val="subscript"/>
                    </w:rPr>
                    <w:t>5</w:t>
                  </w:r>
                  <w:r>
                    <w:rPr>
                      <w:b w:val="0"/>
                      <w:color w:val="auto"/>
                      <w:sz w:val="21"/>
                      <w:szCs w:val="21"/>
                      <w:lang w:bidi="ar"/>
                    </w:rPr>
                    <w:t>、</w:t>
                  </w:r>
                  <w:r>
                    <w:rPr>
                      <w:b w:val="0"/>
                      <w:color w:val="auto"/>
                      <w:sz w:val="21"/>
                      <w:szCs w:val="21"/>
                    </w:rPr>
                    <w:t>SS</w:t>
                  </w:r>
                  <w:r>
                    <w:rPr>
                      <w:b w:val="0"/>
                      <w:color w:val="auto"/>
                      <w:sz w:val="21"/>
                      <w:szCs w:val="21"/>
                      <w:lang w:bidi="ar"/>
                    </w:rPr>
                    <w:t>、</w:t>
                  </w:r>
                  <w:r>
                    <w:rPr>
                      <w:b w:val="0"/>
                      <w:color w:val="auto"/>
                      <w:sz w:val="21"/>
                      <w:szCs w:val="21"/>
                    </w:rPr>
                    <w:t>氨氮</w:t>
                  </w:r>
                  <w:r>
                    <w:rPr>
                      <w:b w:val="0"/>
                      <w:color w:val="auto"/>
                      <w:sz w:val="21"/>
                      <w:szCs w:val="21"/>
                      <w:lang w:bidi="ar"/>
                    </w:rPr>
                    <w:t>、总磷</w:t>
                  </w:r>
                </w:p>
              </w:tc>
              <w:tc>
                <w:tcPr>
                  <w:tcW w:w="3541" w:type="dxa"/>
                  <w:vAlign w:val="center"/>
                </w:tcPr>
                <w:p>
                  <w:pPr>
                    <w:jc w:val="center"/>
                    <w:rPr>
                      <w:szCs w:val="21"/>
                    </w:rPr>
                  </w:pPr>
                  <w:r>
                    <w:rPr>
                      <w:szCs w:val="21"/>
                    </w:rPr>
                    <w:t>1只2m³的循环废水储存罐</w:t>
                  </w:r>
                </w:p>
              </w:tc>
              <w:tc>
                <w:tcPr>
                  <w:tcW w:w="1943" w:type="dxa"/>
                  <w:vMerge w:val="restar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27" w:type="dxa"/>
                  <w:vMerge w:val="continue"/>
                  <w:vAlign w:val="center"/>
                </w:tcPr>
                <w:p>
                  <w:pPr>
                    <w:jc w:val="center"/>
                    <w:rPr>
                      <w:szCs w:val="21"/>
                    </w:rPr>
                  </w:pPr>
                </w:p>
              </w:tc>
              <w:tc>
                <w:tcPr>
                  <w:tcW w:w="1360" w:type="dxa"/>
                  <w:vAlign w:val="center"/>
                </w:tcPr>
                <w:p>
                  <w:pPr>
                    <w:jc w:val="center"/>
                    <w:rPr>
                      <w:szCs w:val="21"/>
                    </w:rPr>
                  </w:pPr>
                  <w:r>
                    <w:rPr>
                      <w:szCs w:val="21"/>
                    </w:rPr>
                    <w:t>办公生活</w:t>
                  </w:r>
                </w:p>
              </w:tc>
              <w:tc>
                <w:tcPr>
                  <w:tcW w:w="1189" w:type="dxa"/>
                  <w:vMerge w:val="continue"/>
                  <w:vAlign w:val="center"/>
                </w:tcPr>
                <w:p>
                  <w:pPr>
                    <w:jc w:val="center"/>
                    <w:rPr>
                      <w:szCs w:val="21"/>
                    </w:rPr>
                  </w:pPr>
                </w:p>
              </w:tc>
              <w:tc>
                <w:tcPr>
                  <w:tcW w:w="3541" w:type="dxa"/>
                  <w:vAlign w:val="center"/>
                </w:tcPr>
                <w:p>
                  <w:pPr>
                    <w:jc w:val="center"/>
                    <w:rPr>
                      <w:szCs w:val="21"/>
                    </w:rPr>
                  </w:pPr>
                  <w:r>
                    <w:rPr>
                      <w:szCs w:val="21"/>
                    </w:rPr>
                    <w:t>依托</w:t>
                  </w:r>
                  <w:r>
                    <w:rPr>
                      <w:rStyle w:val="140"/>
                      <w:sz w:val="21"/>
                      <w:szCs w:val="21"/>
                    </w:rPr>
                    <w:t>云龙公路分局河南石料场公路养护配套改扩建项目旱厕</w:t>
                  </w:r>
                </w:p>
              </w:tc>
              <w:tc>
                <w:tcPr>
                  <w:tcW w:w="1943"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27" w:type="dxa"/>
                  <w:vMerge w:val="continue"/>
                  <w:vAlign w:val="center"/>
                </w:tcPr>
                <w:p>
                  <w:pPr>
                    <w:jc w:val="center"/>
                    <w:rPr>
                      <w:szCs w:val="21"/>
                    </w:rPr>
                  </w:pPr>
                </w:p>
              </w:tc>
              <w:tc>
                <w:tcPr>
                  <w:tcW w:w="1360" w:type="dxa"/>
                  <w:vAlign w:val="center"/>
                </w:tcPr>
                <w:p>
                  <w:pPr>
                    <w:jc w:val="center"/>
                    <w:rPr>
                      <w:szCs w:val="21"/>
                    </w:rPr>
                  </w:pPr>
                  <w:r>
                    <w:rPr>
                      <w:szCs w:val="21"/>
                    </w:rPr>
                    <w:t>初期雨水</w:t>
                  </w:r>
                </w:p>
              </w:tc>
              <w:tc>
                <w:tcPr>
                  <w:tcW w:w="1189" w:type="dxa"/>
                  <w:vAlign w:val="center"/>
                </w:tcPr>
                <w:p>
                  <w:pPr>
                    <w:jc w:val="center"/>
                    <w:rPr>
                      <w:szCs w:val="21"/>
                    </w:rPr>
                  </w:pPr>
                  <w:r>
                    <w:rPr>
                      <w:szCs w:val="21"/>
                    </w:rPr>
                    <w:t>SS、悬浮物、泥沙</w:t>
                  </w:r>
                </w:p>
              </w:tc>
              <w:tc>
                <w:tcPr>
                  <w:tcW w:w="3541" w:type="dxa"/>
                  <w:vAlign w:val="center"/>
                </w:tcPr>
                <w:p>
                  <w:pPr>
                    <w:jc w:val="center"/>
                    <w:rPr>
                      <w:szCs w:val="21"/>
                    </w:rPr>
                  </w:pPr>
                  <w:r>
                    <w:rPr>
                      <w:szCs w:val="21"/>
                    </w:rPr>
                    <w:t>项目区四周修建雨水沟，30m</w:t>
                  </w:r>
                  <w:r>
                    <w:rPr>
                      <w:szCs w:val="21"/>
                      <w:vertAlign w:val="superscript"/>
                    </w:rPr>
                    <w:t>3</w:t>
                  </w:r>
                  <w:r>
                    <w:rPr>
                      <w:szCs w:val="21"/>
                    </w:rPr>
                    <w:t>初期雨水收集池</w:t>
                  </w:r>
                </w:p>
              </w:tc>
              <w:tc>
                <w:tcPr>
                  <w:tcW w:w="1943" w:type="dxa"/>
                  <w:vAlign w:val="center"/>
                </w:tcPr>
                <w:p>
                  <w:pPr>
                    <w:jc w:val="center"/>
                    <w:rPr>
                      <w:szCs w:val="21"/>
                    </w:rPr>
                  </w:pPr>
                  <w:r>
                    <w:rPr>
                      <w:szCs w:val="21"/>
                    </w:rPr>
                    <w:t>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427" w:type="dxa"/>
                  <w:vAlign w:val="center"/>
                </w:tcPr>
                <w:p>
                  <w:pPr>
                    <w:jc w:val="center"/>
                    <w:rPr>
                      <w:szCs w:val="21"/>
                    </w:rPr>
                  </w:pPr>
                  <w:r>
                    <w:rPr>
                      <w:szCs w:val="21"/>
                    </w:rPr>
                    <w:t>噪声</w:t>
                  </w:r>
                </w:p>
              </w:tc>
              <w:tc>
                <w:tcPr>
                  <w:tcW w:w="1360" w:type="dxa"/>
                  <w:vAlign w:val="center"/>
                </w:tcPr>
                <w:p>
                  <w:pPr>
                    <w:jc w:val="center"/>
                    <w:rPr>
                      <w:szCs w:val="21"/>
                    </w:rPr>
                  </w:pPr>
                  <w:r>
                    <w:rPr>
                      <w:szCs w:val="21"/>
                    </w:rPr>
                    <w:t>设备噪声</w:t>
                  </w:r>
                </w:p>
              </w:tc>
              <w:tc>
                <w:tcPr>
                  <w:tcW w:w="1189" w:type="dxa"/>
                  <w:vAlign w:val="center"/>
                </w:tcPr>
                <w:p>
                  <w:pPr>
                    <w:jc w:val="center"/>
                    <w:rPr>
                      <w:szCs w:val="21"/>
                    </w:rPr>
                  </w:pPr>
                  <w:r>
                    <w:rPr>
                      <w:szCs w:val="21"/>
                    </w:rPr>
                    <w:t>噪声</w:t>
                  </w:r>
                </w:p>
              </w:tc>
              <w:tc>
                <w:tcPr>
                  <w:tcW w:w="3541" w:type="dxa"/>
                  <w:vAlign w:val="center"/>
                </w:tcPr>
                <w:p>
                  <w:pPr>
                    <w:jc w:val="center"/>
                    <w:rPr>
                      <w:szCs w:val="21"/>
                    </w:rPr>
                  </w:pPr>
                  <w:r>
                    <w:rPr>
                      <w:szCs w:val="21"/>
                    </w:rPr>
                    <w:t>隔声、减震等噪声控制措施</w:t>
                  </w:r>
                </w:p>
              </w:tc>
              <w:tc>
                <w:tcPr>
                  <w:tcW w:w="1943" w:type="dxa"/>
                  <w:vAlign w:val="center"/>
                </w:tcPr>
                <w:p>
                  <w:pPr>
                    <w:jc w:val="center"/>
                    <w:rPr>
                      <w:szCs w:val="21"/>
                    </w:rPr>
                  </w:pPr>
                  <w:r>
                    <w:rPr>
                      <w:szCs w:val="21"/>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427" w:type="dxa"/>
                  <w:vMerge w:val="restart"/>
                  <w:vAlign w:val="center"/>
                </w:tcPr>
                <w:p>
                  <w:pPr>
                    <w:jc w:val="center"/>
                    <w:rPr>
                      <w:szCs w:val="21"/>
                    </w:rPr>
                  </w:pPr>
                  <w:r>
                    <w:rPr>
                      <w:szCs w:val="21"/>
                    </w:rPr>
                    <w:t>固废</w:t>
                  </w:r>
                </w:p>
              </w:tc>
              <w:tc>
                <w:tcPr>
                  <w:tcW w:w="1360" w:type="dxa"/>
                  <w:vAlign w:val="center"/>
                </w:tcPr>
                <w:p>
                  <w:pPr>
                    <w:jc w:val="center"/>
                    <w:rPr>
                      <w:szCs w:val="21"/>
                    </w:rPr>
                  </w:pPr>
                  <w:r>
                    <w:rPr>
                      <w:szCs w:val="21"/>
                    </w:rPr>
                    <w:t>生活区</w:t>
                  </w:r>
                </w:p>
              </w:tc>
              <w:tc>
                <w:tcPr>
                  <w:tcW w:w="1189" w:type="dxa"/>
                  <w:vAlign w:val="center"/>
                </w:tcPr>
                <w:p>
                  <w:pPr>
                    <w:jc w:val="center"/>
                    <w:rPr>
                      <w:szCs w:val="21"/>
                    </w:rPr>
                  </w:pPr>
                  <w:r>
                    <w:rPr>
                      <w:szCs w:val="21"/>
                    </w:rPr>
                    <w:t>生活垃圾</w:t>
                  </w:r>
                </w:p>
              </w:tc>
              <w:tc>
                <w:tcPr>
                  <w:tcW w:w="3541" w:type="dxa"/>
                  <w:vAlign w:val="center"/>
                </w:tcPr>
                <w:p>
                  <w:pPr>
                    <w:jc w:val="center"/>
                    <w:rPr>
                      <w:szCs w:val="21"/>
                    </w:rPr>
                  </w:pPr>
                  <w:r>
                    <w:rPr>
                      <w:szCs w:val="21"/>
                    </w:rPr>
                    <w:t>垃圾桶</w:t>
                  </w:r>
                </w:p>
              </w:tc>
              <w:tc>
                <w:tcPr>
                  <w:tcW w:w="1943" w:type="dxa"/>
                  <w:vAlign w:val="center"/>
                </w:tcPr>
                <w:p>
                  <w:pPr>
                    <w:jc w:val="center"/>
                    <w:rPr>
                      <w:szCs w:val="21"/>
                    </w:rPr>
                  </w:pPr>
                  <w:r>
                    <w:rPr>
                      <w:szCs w:val="21"/>
                    </w:rPr>
                    <w:t>统一收集后运至团结乡垃圾站处理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27" w:type="dxa"/>
                  <w:vMerge w:val="continue"/>
                  <w:vAlign w:val="center"/>
                </w:tcPr>
                <w:p>
                  <w:pPr>
                    <w:jc w:val="center"/>
                    <w:rPr>
                      <w:szCs w:val="21"/>
                    </w:rPr>
                  </w:pPr>
                </w:p>
              </w:tc>
              <w:tc>
                <w:tcPr>
                  <w:tcW w:w="1360" w:type="dxa"/>
                  <w:vAlign w:val="center"/>
                </w:tcPr>
                <w:p>
                  <w:pPr>
                    <w:jc w:val="center"/>
                    <w:rPr>
                      <w:szCs w:val="21"/>
                    </w:rPr>
                  </w:pPr>
                  <w:r>
                    <w:rPr>
                      <w:szCs w:val="21"/>
                    </w:rPr>
                    <w:t>生产区</w:t>
                  </w:r>
                </w:p>
              </w:tc>
              <w:tc>
                <w:tcPr>
                  <w:tcW w:w="1189" w:type="dxa"/>
                  <w:vAlign w:val="center"/>
                </w:tcPr>
                <w:p>
                  <w:pPr>
                    <w:jc w:val="center"/>
                    <w:rPr>
                      <w:szCs w:val="21"/>
                    </w:rPr>
                  </w:pPr>
                  <w:r>
                    <w:rPr>
                      <w:szCs w:val="21"/>
                    </w:rPr>
                    <w:t>生产固废</w:t>
                  </w:r>
                </w:p>
              </w:tc>
              <w:tc>
                <w:tcPr>
                  <w:tcW w:w="3541" w:type="dxa"/>
                  <w:vAlign w:val="center"/>
                </w:tcPr>
                <w:p>
                  <w:pPr>
                    <w:jc w:val="center"/>
                    <w:rPr>
                      <w:szCs w:val="21"/>
                    </w:rPr>
                  </w:pPr>
                  <w:r>
                    <w:rPr>
                      <w:szCs w:val="21"/>
                    </w:rPr>
                    <w:t>危险废物暂存间1间，1F，建筑面积5m</w:t>
                  </w:r>
                  <w:r>
                    <w:rPr>
                      <w:szCs w:val="21"/>
                      <w:vertAlign w:val="superscript"/>
                    </w:rPr>
                    <w:t>2</w:t>
                  </w:r>
                  <w:r>
                    <w:rPr>
                      <w:szCs w:val="21"/>
                    </w:rPr>
                    <w:t>，按照《危险废物贮存污染控制标准》（GB18597-2023）中的中规定进行建设，须做到防风、防雨、防晒并设置有衬裙、基础进行防渗处理，防渗层为至少1m厚黏土层（渗透系数不大于10-cm/s）或至少2mm厚高密度聚乙烯膜等人工防渗材料（渗透系数不大于10-10cm/s）或其他防渗性能等效的材料，配套2个危险废物专用收集容器，并按照HJ1276-2022要求设置规范的标识标牌，用于危险废物暂存。</w:t>
                  </w:r>
                </w:p>
              </w:tc>
              <w:tc>
                <w:tcPr>
                  <w:tcW w:w="1943" w:type="dxa"/>
                  <w:vAlign w:val="center"/>
                </w:tcPr>
                <w:p>
                  <w:pPr>
                    <w:jc w:val="center"/>
                    <w:rPr>
                      <w:szCs w:val="21"/>
                    </w:rPr>
                  </w:pPr>
                  <w:r>
                    <w:rPr>
                      <w:szCs w:val="21"/>
                    </w:rPr>
                    <w:t>统一收集，分类暂存，委托相关资质单位定期清运处置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27" w:type="dxa"/>
                  <w:vAlign w:val="center"/>
                </w:tcPr>
                <w:p>
                  <w:pPr>
                    <w:jc w:val="center"/>
                    <w:rPr>
                      <w:szCs w:val="21"/>
                    </w:rPr>
                  </w:pPr>
                  <w:r>
                    <w:rPr>
                      <w:szCs w:val="21"/>
                    </w:rPr>
                    <w:t>地下水环境</w:t>
                  </w:r>
                </w:p>
              </w:tc>
              <w:tc>
                <w:tcPr>
                  <w:tcW w:w="2549" w:type="dxa"/>
                  <w:gridSpan w:val="2"/>
                  <w:vAlign w:val="center"/>
                </w:tcPr>
                <w:p>
                  <w:pPr>
                    <w:jc w:val="center"/>
                    <w:rPr>
                      <w:szCs w:val="21"/>
                    </w:rPr>
                  </w:pPr>
                  <w:r>
                    <w:rPr>
                      <w:szCs w:val="21"/>
                    </w:rPr>
                    <w:t>分区防渗</w:t>
                  </w:r>
                </w:p>
              </w:tc>
              <w:tc>
                <w:tcPr>
                  <w:tcW w:w="3541" w:type="dxa"/>
                  <w:vAlign w:val="center"/>
                </w:tcPr>
                <w:p>
                  <w:pPr>
                    <w:pStyle w:val="167"/>
                    <w:rPr>
                      <w:szCs w:val="21"/>
                    </w:rPr>
                  </w:pPr>
                  <w:r>
                    <w:rPr>
                      <w:szCs w:val="21"/>
                    </w:rPr>
                    <w:t>重点防渗区：</w:t>
                  </w: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t>危险废物暂存间分为废矿物油（废润滑油、导热油）暂存区和其他危险废物暂存区。废矿物油（废润滑油、导热油）暂存区设置防渗托盘，并设置30cm高围堰，围堰容积约为0.9m³；地面与裙脚采用抗渗混凝土、高密度聚乙烯膜、钠基膨润土防水毯或其他防渗性能等效的材料；地面基础防渗，防渗层为至少1m厚黏层（渗透系数不大于10</w:t>
                  </w:r>
                  <w:r>
                    <w:rPr>
                      <w:szCs w:val="21"/>
                      <w:vertAlign w:val="superscript"/>
                    </w:rPr>
                    <w:t>-7</w:t>
                  </w:r>
                  <w:r>
                    <w:rPr>
                      <w:szCs w:val="21"/>
                    </w:rPr>
                    <w:t>cm/s），或采用至少2mm厚高密度聚乙烯膜等人工防渗材料（渗透系数不大于10</w:t>
                  </w:r>
                  <w:r>
                    <w:rPr>
                      <w:szCs w:val="21"/>
                      <w:vertAlign w:val="superscript"/>
                    </w:rPr>
                    <w:t xml:space="preserve">-10 </w:t>
                  </w:r>
                  <w:r>
                    <w:rPr>
                      <w:szCs w:val="21"/>
                    </w:rPr>
                    <w:t>cm/s）或其他防渗性能等效的材料。或参照GB18597执行。</w:t>
                  </w:r>
                </w:p>
                <w:p>
                  <w:pPr>
                    <w:pStyle w:val="167"/>
                    <w:rPr>
                      <w:szCs w:val="21"/>
                    </w:rPr>
                  </w:pP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柴油储罐罐区设置长4m、宽2.5m、高0.6m，容积6m³（约5.22t）的围堰；沥青储罐区设置长15m、宽4m、高0.7m，容积42m³（约50.4t）的围堰；储罐区地面及围堰并采用耐磨、防腐、防渗的人工涂料进行防渗处置。防渗技术要求：等效黏土防渗层Mb≥6.0m，K≤1×10-7cm/s；或参照GB18597执行；同时储罐区还应做到防浸泡。</w:t>
                  </w:r>
                </w:p>
                <w:p>
                  <w:pPr>
                    <w:pStyle w:val="167"/>
                    <w:rPr>
                      <w:szCs w:val="21"/>
                    </w:rPr>
                  </w:pPr>
                  <w:r>
                    <w:rPr>
                      <w:szCs w:val="21"/>
                    </w:rPr>
                    <w:t>一般防渗区：初期雨水收集池，采用高强度混凝土建设，结构厚度不应小于100mm，混凝土抗渗等级不应低于P6。防渗技术要求：等效黏土防渗层Mb&gt;1.5m，K≤1.0x10</w:t>
                  </w:r>
                  <w:r>
                    <w:rPr>
                      <w:szCs w:val="21"/>
                      <w:vertAlign w:val="superscript"/>
                    </w:rPr>
                    <w:t>-7</w:t>
                  </w:r>
                  <w:r>
                    <w:rPr>
                      <w:szCs w:val="21"/>
                    </w:rPr>
                    <w:t>cm/s；或参照GB16889执行。</w:t>
                  </w:r>
                </w:p>
                <w:p>
                  <w:pPr>
                    <w:pStyle w:val="167"/>
                    <w:rPr>
                      <w:szCs w:val="21"/>
                    </w:rPr>
                  </w:pPr>
                  <w:r>
                    <w:rPr>
                      <w:szCs w:val="21"/>
                      <w:lang w:bidi="ar"/>
                    </w:rPr>
                    <w:t>简单防渗区：除了重点、一般防渗区以外的区域进行简单硬化处理。</w:t>
                  </w:r>
                </w:p>
              </w:tc>
              <w:tc>
                <w:tcPr>
                  <w:tcW w:w="1943" w:type="dxa"/>
                  <w:vAlign w:val="center"/>
                </w:tcPr>
                <w:p>
                  <w:pPr>
                    <w:jc w:val="center"/>
                    <w:rPr>
                      <w:szCs w:val="21"/>
                    </w:rPr>
                  </w:pPr>
                  <w:r>
                    <w:rPr>
                      <w:szCs w:val="21"/>
                    </w:rPr>
                    <w:t>达到建设要求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27" w:type="dxa"/>
                  <w:vAlign w:val="center"/>
                </w:tcPr>
                <w:p>
                  <w:pPr>
                    <w:jc w:val="center"/>
                    <w:rPr>
                      <w:szCs w:val="21"/>
                    </w:rPr>
                  </w:pPr>
                  <w:r>
                    <w:rPr>
                      <w:szCs w:val="21"/>
                    </w:rPr>
                    <w:t>环境风险</w:t>
                  </w:r>
                </w:p>
              </w:tc>
              <w:tc>
                <w:tcPr>
                  <w:tcW w:w="6090" w:type="dxa"/>
                  <w:gridSpan w:val="3"/>
                  <w:vAlign w:val="center"/>
                </w:tcPr>
                <w:p>
                  <w:pPr>
                    <w:jc w:val="center"/>
                    <w:rPr>
                      <w:szCs w:val="21"/>
                    </w:rPr>
                  </w:pPr>
                  <w:r>
                    <w:rPr>
                      <w:szCs w:val="21"/>
                    </w:rPr>
                    <w:t>危险废物暂存间设置2个危险废物专用密闭容器，</w:t>
                  </w:r>
                  <w:r>
                    <w:t>按照HJ1276—2022要求设置标识标牌；同持有危险废物经营许可证的相关资质单位签订危险废物委托处置协议签。</w:t>
                  </w:r>
                </w:p>
              </w:tc>
              <w:tc>
                <w:tcPr>
                  <w:tcW w:w="1943" w:type="dxa"/>
                  <w:vAlign w:val="center"/>
                </w:tcPr>
                <w:p>
                  <w:pPr>
                    <w:jc w:val="center"/>
                    <w:rPr>
                      <w:szCs w:val="21"/>
                    </w:rPr>
                  </w:pPr>
                  <w:r>
                    <w:rPr>
                      <w:szCs w:val="21"/>
                    </w:rPr>
                    <w:t>达到建设要求</w:t>
                  </w:r>
                </w:p>
              </w:tc>
            </w:tr>
          </w:tbl>
          <w:p>
            <w:pPr>
              <w:pStyle w:val="108"/>
              <w:rPr>
                <w:color w:val="auto"/>
              </w:rPr>
            </w:pPr>
            <w:r>
              <w:rPr>
                <w:color w:val="auto"/>
              </w:rPr>
              <w:t>4.3本项目污染物汇总情况</w:t>
            </w:r>
          </w:p>
          <w:p>
            <w:pPr>
              <w:pStyle w:val="139"/>
              <w:ind w:firstLine="480"/>
            </w:pPr>
            <w:r>
              <w:t>综上所述，本项目主要污染物产生及排放情况见下表。</w:t>
            </w:r>
          </w:p>
          <w:p>
            <w:pPr>
              <w:pStyle w:val="168"/>
            </w:pPr>
            <w:r>
              <w:t>表4-22   项目主要污染物产生及排放情况</w:t>
            </w:r>
          </w:p>
          <w:tbl>
            <w:tblPr>
              <w:tblStyle w:val="28"/>
              <w:tblW w:w="84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0"/>
              <w:gridCol w:w="997"/>
              <w:gridCol w:w="846"/>
              <w:gridCol w:w="3050"/>
              <w:gridCol w:w="3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Align w:val="center"/>
                </w:tcPr>
                <w:p>
                  <w:pPr>
                    <w:pStyle w:val="167"/>
                  </w:pPr>
                  <w:r>
                    <w:t>污染类别</w:t>
                  </w:r>
                </w:p>
              </w:tc>
              <w:tc>
                <w:tcPr>
                  <w:tcW w:w="997" w:type="dxa"/>
                  <w:vAlign w:val="center"/>
                </w:tcPr>
                <w:p>
                  <w:pPr>
                    <w:pStyle w:val="167"/>
                  </w:pPr>
                  <w:r>
                    <w:t>排放源</w:t>
                  </w:r>
                </w:p>
              </w:tc>
              <w:tc>
                <w:tcPr>
                  <w:tcW w:w="846" w:type="dxa"/>
                  <w:vAlign w:val="center"/>
                </w:tcPr>
                <w:p>
                  <w:pPr>
                    <w:pStyle w:val="167"/>
                  </w:pPr>
                  <w:r>
                    <w:t>污染物名称</w:t>
                  </w:r>
                </w:p>
              </w:tc>
              <w:tc>
                <w:tcPr>
                  <w:tcW w:w="3050" w:type="dxa"/>
                  <w:vAlign w:val="center"/>
                </w:tcPr>
                <w:p>
                  <w:pPr>
                    <w:pStyle w:val="167"/>
                  </w:pPr>
                  <w:r>
                    <w:t>处理前产生浓度及产生量</w:t>
                  </w:r>
                </w:p>
              </w:tc>
              <w:tc>
                <w:tcPr>
                  <w:tcW w:w="3092" w:type="dxa"/>
                  <w:vAlign w:val="center"/>
                </w:tcPr>
                <w:p>
                  <w:pPr>
                    <w:pStyle w:val="167"/>
                  </w:pPr>
                  <w:r>
                    <w:t>排放浓度及排放量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restart"/>
                  <w:vAlign w:val="center"/>
                </w:tcPr>
                <w:p>
                  <w:pPr>
                    <w:pStyle w:val="167"/>
                  </w:pPr>
                  <w:r>
                    <w:t>废气</w:t>
                  </w:r>
                </w:p>
              </w:tc>
              <w:tc>
                <w:tcPr>
                  <w:tcW w:w="997" w:type="dxa"/>
                  <w:vMerge w:val="restart"/>
                  <w:vAlign w:val="center"/>
                </w:tcPr>
                <w:p>
                  <w:pPr>
                    <w:pStyle w:val="167"/>
                  </w:pPr>
                  <w:r>
                    <w:t>DA001</w:t>
                  </w:r>
                </w:p>
              </w:tc>
              <w:tc>
                <w:tcPr>
                  <w:tcW w:w="846" w:type="dxa"/>
                  <w:vAlign w:val="center"/>
                </w:tcPr>
                <w:p>
                  <w:pPr>
                    <w:pStyle w:val="167"/>
                  </w:pPr>
                  <w:r>
                    <w:t>烟（粉）尘</w:t>
                  </w:r>
                </w:p>
              </w:tc>
              <w:tc>
                <w:tcPr>
                  <w:tcW w:w="3050" w:type="dxa"/>
                  <w:vAlign w:val="center"/>
                </w:tcPr>
                <w:p>
                  <w:pPr>
                    <w:pStyle w:val="167"/>
                  </w:pPr>
                  <w:r>
                    <w:rPr>
                      <w:sz w:val="22"/>
                      <w:szCs w:val="22"/>
                    </w:rPr>
                    <w:t>70.33333</w:t>
                  </w:r>
                  <w:r>
                    <w:t>mg/m</w:t>
                  </w:r>
                  <w:r>
                    <w:rPr>
                      <w:vertAlign w:val="superscript"/>
                    </w:rPr>
                    <w:t>3</w:t>
                  </w:r>
                  <w:r>
                    <w:t>,0.3798t/a</w:t>
                  </w:r>
                </w:p>
              </w:tc>
              <w:tc>
                <w:tcPr>
                  <w:tcW w:w="3092" w:type="dxa"/>
                  <w:vAlign w:val="center"/>
                </w:tcPr>
                <w:p>
                  <w:pPr>
                    <w:pStyle w:val="167"/>
                  </w:pPr>
                  <w:r>
                    <w:rPr>
                      <w:sz w:val="22"/>
                      <w:szCs w:val="22"/>
                    </w:rPr>
                    <w:t>0.6963</w:t>
                  </w:r>
                  <w:r>
                    <w:t>mg/m</w:t>
                  </w:r>
                  <w:r>
                    <w:rPr>
                      <w:vertAlign w:val="superscript"/>
                    </w:rPr>
                    <w:t>3</w:t>
                  </w:r>
                  <w:r>
                    <w:t>,0.00376t/a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二氧化硫</w:t>
                  </w:r>
                </w:p>
              </w:tc>
              <w:tc>
                <w:tcPr>
                  <w:tcW w:w="3050" w:type="dxa"/>
                  <w:vAlign w:val="center"/>
                </w:tcPr>
                <w:p>
                  <w:pPr>
                    <w:pStyle w:val="167"/>
                  </w:pPr>
                  <w:r>
                    <w:rPr>
                      <w:sz w:val="22"/>
                      <w:szCs w:val="22"/>
                    </w:rPr>
                    <w:t>0.01759</w:t>
                  </w:r>
                  <w:r>
                    <w:t>mg/m</w:t>
                  </w:r>
                  <w:r>
                    <w:rPr>
                      <w:vertAlign w:val="superscript"/>
                    </w:rPr>
                    <w:t>3</w:t>
                  </w:r>
                  <w:r>
                    <w:t>,0.000095t/a</w:t>
                  </w:r>
                </w:p>
              </w:tc>
              <w:tc>
                <w:tcPr>
                  <w:tcW w:w="3092" w:type="dxa"/>
                  <w:vAlign w:val="center"/>
                </w:tcPr>
                <w:p>
                  <w:pPr>
                    <w:pStyle w:val="167"/>
                  </w:pPr>
                  <w:r>
                    <w:rPr>
                      <w:sz w:val="22"/>
                      <w:szCs w:val="22"/>
                    </w:rPr>
                    <w:t>0.01742</w:t>
                  </w:r>
                  <w:r>
                    <w:t>mg/m</w:t>
                  </w:r>
                  <w:r>
                    <w:rPr>
                      <w:vertAlign w:val="superscript"/>
                    </w:rPr>
                    <w:t>3</w:t>
                  </w:r>
                  <w:r>
                    <w:t>,0.00009405t/a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氮氧化物</w:t>
                  </w:r>
                </w:p>
              </w:tc>
              <w:tc>
                <w:tcPr>
                  <w:tcW w:w="3050" w:type="dxa"/>
                  <w:vAlign w:val="center"/>
                </w:tcPr>
                <w:p>
                  <w:pPr>
                    <w:pStyle w:val="167"/>
                  </w:pPr>
                  <w:r>
                    <w:t>3.39815mg/m</w:t>
                  </w:r>
                  <w:r>
                    <w:rPr>
                      <w:vertAlign w:val="superscript"/>
                    </w:rPr>
                    <w:t>3</w:t>
                  </w:r>
                  <w:r>
                    <w:rPr>
                      <w:sz w:val="22"/>
                      <w:szCs w:val="22"/>
                    </w:rPr>
                    <w:t>,</w:t>
                  </w:r>
                  <w:r>
                    <w:t>0.01835t/a</w:t>
                  </w:r>
                </w:p>
              </w:tc>
              <w:tc>
                <w:tcPr>
                  <w:tcW w:w="3092" w:type="dxa"/>
                  <w:vAlign w:val="center"/>
                </w:tcPr>
                <w:p>
                  <w:pPr>
                    <w:pStyle w:val="167"/>
                  </w:pPr>
                  <w:r>
                    <w:t>3.36398mg/m</w:t>
                  </w:r>
                  <w:r>
                    <w:rPr>
                      <w:vertAlign w:val="superscript"/>
                    </w:rPr>
                    <w:t>3</w:t>
                  </w:r>
                  <w:r>
                    <w:rPr>
                      <w:sz w:val="22"/>
                      <w:szCs w:val="22"/>
                    </w:rPr>
                    <w:t>,</w:t>
                  </w:r>
                  <w:r>
                    <w:t>0.0181665t/a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restart"/>
                  <w:vAlign w:val="center"/>
                </w:tcPr>
                <w:p>
                  <w:pPr>
                    <w:pStyle w:val="167"/>
                  </w:pPr>
                  <w:r>
                    <w:t>DA002</w:t>
                  </w:r>
                </w:p>
              </w:tc>
              <w:tc>
                <w:tcPr>
                  <w:tcW w:w="846" w:type="dxa"/>
                  <w:vAlign w:val="center"/>
                </w:tcPr>
                <w:p>
                  <w:pPr>
                    <w:pStyle w:val="167"/>
                  </w:pPr>
                  <w:r>
                    <w:t>非甲烷总烃</w:t>
                  </w:r>
                </w:p>
              </w:tc>
              <w:tc>
                <w:tcPr>
                  <w:tcW w:w="3050" w:type="dxa"/>
                  <w:vAlign w:val="center"/>
                </w:tcPr>
                <w:p>
                  <w:pPr>
                    <w:pStyle w:val="167"/>
                  </w:pPr>
                  <w:r>
                    <w:rPr>
                      <w:sz w:val="22"/>
                      <w:szCs w:val="22"/>
                    </w:rPr>
                    <w:t>28.1994</w:t>
                  </w:r>
                  <w:r>
                    <w:t>mg/m</w:t>
                  </w:r>
                  <w:r>
                    <w:rPr>
                      <w:vertAlign w:val="superscript"/>
                    </w:rPr>
                    <w:t>3</w:t>
                  </w:r>
                  <w:r>
                    <w:t>,0.1015t/a</w:t>
                  </w:r>
                </w:p>
              </w:tc>
              <w:tc>
                <w:tcPr>
                  <w:tcW w:w="3092" w:type="dxa"/>
                  <w:vAlign w:val="center"/>
                </w:tcPr>
                <w:p>
                  <w:pPr>
                    <w:pStyle w:val="167"/>
                  </w:pPr>
                  <w:r>
                    <w:rPr>
                      <w:sz w:val="22"/>
                      <w:szCs w:val="22"/>
                    </w:rPr>
                    <w:t>4.2222</w:t>
                  </w:r>
                  <w:r>
                    <w:t>mg/m</w:t>
                  </w:r>
                  <w:r>
                    <w:rPr>
                      <w:vertAlign w:val="superscript"/>
                    </w:rPr>
                    <w:t>3</w:t>
                  </w:r>
                  <w:r>
                    <w:t>,1.52×10</w:t>
                  </w:r>
                  <w:r>
                    <w:rPr>
                      <w:vertAlign w:val="superscript"/>
                    </w:rPr>
                    <w:t>-2</w:t>
                  </w:r>
                  <w: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沥青烟</w:t>
                  </w:r>
                </w:p>
              </w:tc>
              <w:tc>
                <w:tcPr>
                  <w:tcW w:w="3050" w:type="dxa"/>
                  <w:vAlign w:val="center"/>
                </w:tcPr>
                <w:p>
                  <w:pPr>
                    <w:pStyle w:val="167"/>
                  </w:pPr>
                  <w:r>
                    <w:rPr>
                      <w:sz w:val="22"/>
                      <w:szCs w:val="22"/>
                    </w:rPr>
                    <w:t>3.775</w:t>
                  </w:r>
                  <w:r>
                    <w:t>mg/m</w:t>
                  </w:r>
                  <w:r>
                    <w:rPr>
                      <w:vertAlign w:val="superscript"/>
                    </w:rPr>
                    <w:t>3</w:t>
                  </w:r>
                  <w:r>
                    <w:rPr>
                      <w:sz w:val="22"/>
                      <w:szCs w:val="22"/>
                    </w:rPr>
                    <w:t>,</w:t>
                  </w:r>
                  <w:r>
                    <w:t>0.0136t/a</w:t>
                  </w:r>
                </w:p>
              </w:tc>
              <w:tc>
                <w:tcPr>
                  <w:tcW w:w="3092" w:type="dxa"/>
                  <w:vAlign w:val="center"/>
                </w:tcPr>
                <w:p>
                  <w:pPr>
                    <w:pStyle w:val="167"/>
                  </w:pPr>
                  <w:r>
                    <w:rPr>
                      <w:sz w:val="22"/>
                      <w:szCs w:val="22"/>
                    </w:rPr>
                    <w:t>1.133</w:t>
                  </w:r>
                  <w:r>
                    <w:t>mg/m</w:t>
                  </w:r>
                  <w:r>
                    <w:rPr>
                      <w:vertAlign w:val="superscript"/>
                    </w:rPr>
                    <w:t>3</w:t>
                  </w:r>
                  <w:r>
                    <w:t>,4.08×10</w:t>
                  </w:r>
                  <w:r>
                    <w:rPr>
                      <w:vertAlign w:val="superscript"/>
                    </w:rPr>
                    <w:t>-3</w:t>
                  </w:r>
                  <w: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苯并[a]芘</w:t>
                  </w:r>
                </w:p>
              </w:tc>
              <w:tc>
                <w:tcPr>
                  <w:tcW w:w="3050" w:type="dxa"/>
                  <w:vAlign w:val="center"/>
                </w:tcPr>
                <w:p>
                  <w:pPr>
                    <w:pStyle w:val="167"/>
                  </w:pPr>
                  <w:r>
                    <w:t>2.6875×10</w:t>
                  </w:r>
                  <w:r>
                    <w:rPr>
                      <w:vertAlign w:val="superscript"/>
                    </w:rPr>
                    <w:t>-3</w:t>
                  </w:r>
                  <w:r>
                    <w:t>mg/m</w:t>
                  </w:r>
                  <w:r>
                    <w:rPr>
                      <w:vertAlign w:val="superscript"/>
                    </w:rPr>
                    <w:t>3</w:t>
                  </w:r>
                  <w:r>
                    <w:rPr>
                      <w:sz w:val="22"/>
                      <w:szCs w:val="22"/>
                    </w:rPr>
                    <w:t>,</w:t>
                  </w:r>
                  <w:r>
                    <w:t>9.675×10</w:t>
                  </w:r>
                  <w:r>
                    <w:rPr>
                      <w:vertAlign w:val="superscript"/>
                    </w:rPr>
                    <w:t>-6</w:t>
                  </w:r>
                  <w:r>
                    <w:t>t/a</w:t>
                  </w:r>
                </w:p>
              </w:tc>
              <w:tc>
                <w:tcPr>
                  <w:tcW w:w="3092" w:type="dxa"/>
                  <w:vAlign w:val="center"/>
                </w:tcPr>
                <w:p>
                  <w:pPr>
                    <w:pStyle w:val="167"/>
                  </w:pPr>
                  <w:r>
                    <w:t>4.027×10</w:t>
                  </w:r>
                  <w:r>
                    <w:rPr>
                      <w:vertAlign w:val="superscript"/>
                    </w:rPr>
                    <w:t>-4</w:t>
                  </w:r>
                  <w:r>
                    <w:t>mg/m</w:t>
                  </w:r>
                  <w:r>
                    <w:rPr>
                      <w:vertAlign w:val="superscript"/>
                    </w:rPr>
                    <w:t>3</w:t>
                  </w:r>
                  <w:r>
                    <w:t>,1.451×10</w:t>
                  </w:r>
                  <w:r>
                    <w:rPr>
                      <w:vertAlign w:val="superscript"/>
                    </w:rPr>
                    <w:t>-3</w:t>
                  </w:r>
                  <w: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restart"/>
                  <w:vAlign w:val="center"/>
                </w:tcPr>
                <w:p>
                  <w:pPr>
                    <w:pStyle w:val="167"/>
                  </w:pPr>
                  <w:r>
                    <w:t>生产车间（无组织）</w:t>
                  </w:r>
                </w:p>
              </w:tc>
              <w:tc>
                <w:tcPr>
                  <w:tcW w:w="846" w:type="dxa"/>
                  <w:vAlign w:val="center"/>
                </w:tcPr>
                <w:p>
                  <w:pPr>
                    <w:pStyle w:val="167"/>
                  </w:pPr>
                  <w:r>
                    <w:t>TSP</w:t>
                  </w:r>
                </w:p>
              </w:tc>
              <w:tc>
                <w:tcPr>
                  <w:tcW w:w="3050" w:type="dxa"/>
                  <w:vAlign w:val="center"/>
                </w:tcPr>
                <w:p>
                  <w:pPr>
                    <w:pStyle w:val="167"/>
                  </w:pPr>
                  <w:r>
                    <w:t>0.018938t/a</w:t>
                  </w:r>
                </w:p>
              </w:tc>
              <w:tc>
                <w:tcPr>
                  <w:tcW w:w="3092" w:type="dxa"/>
                  <w:vAlign w:val="center"/>
                </w:tcPr>
                <w:p>
                  <w:pPr>
                    <w:pStyle w:val="167"/>
                  </w:pPr>
                  <w:r>
                    <w:t>0.006826t/a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非甲烷总烃</w:t>
                  </w:r>
                </w:p>
              </w:tc>
              <w:tc>
                <w:tcPr>
                  <w:tcW w:w="3050" w:type="dxa"/>
                  <w:vAlign w:val="center"/>
                </w:tcPr>
                <w:p>
                  <w:pPr>
                    <w:pStyle w:val="167"/>
                  </w:pPr>
                  <w:r>
                    <w:t>0.0435t/a</w:t>
                  </w:r>
                </w:p>
              </w:tc>
              <w:tc>
                <w:tcPr>
                  <w:tcW w:w="3092" w:type="dxa"/>
                  <w:vAlign w:val="center"/>
                </w:tcPr>
                <w:p>
                  <w:pPr>
                    <w:pStyle w:val="167"/>
                  </w:pPr>
                  <w:r>
                    <w:t>0.0435t/a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沥青烟</w:t>
                  </w:r>
                </w:p>
              </w:tc>
              <w:tc>
                <w:tcPr>
                  <w:tcW w:w="3050" w:type="dxa"/>
                  <w:vAlign w:val="center"/>
                </w:tcPr>
                <w:p>
                  <w:pPr>
                    <w:pStyle w:val="167"/>
                  </w:pPr>
                  <w:r>
                    <w:t>0.00151t/a</w:t>
                  </w:r>
                </w:p>
              </w:tc>
              <w:tc>
                <w:tcPr>
                  <w:tcW w:w="3092" w:type="dxa"/>
                  <w:vAlign w:val="center"/>
                </w:tcPr>
                <w:p>
                  <w:pPr>
                    <w:pStyle w:val="167"/>
                  </w:pPr>
                  <w:r>
                    <w:t>0.00151t/a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苯并[a]芘</w:t>
                  </w:r>
                </w:p>
              </w:tc>
              <w:tc>
                <w:tcPr>
                  <w:tcW w:w="3050" w:type="dxa"/>
                  <w:vAlign w:val="center"/>
                </w:tcPr>
                <w:p>
                  <w:pPr>
                    <w:pStyle w:val="167"/>
                  </w:pPr>
                  <w:r>
                    <w:t>1.075×10</w:t>
                  </w:r>
                  <w:r>
                    <w:rPr>
                      <w:vertAlign w:val="superscript"/>
                    </w:rPr>
                    <w:t>-6</w:t>
                  </w:r>
                  <w:r>
                    <w:t>t/a</w:t>
                  </w:r>
                </w:p>
              </w:tc>
              <w:tc>
                <w:tcPr>
                  <w:tcW w:w="3092" w:type="dxa"/>
                  <w:vAlign w:val="center"/>
                </w:tcPr>
                <w:p>
                  <w:pPr>
                    <w:pStyle w:val="167"/>
                    <w:rPr>
                      <w:sz w:val="22"/>
                      <w:szCs w:val="22"/>
                    </w:rPr>
                  </w:pPr>
                  <w:r>
                    <w:t>1.075×10</w:t>
                  </w:r>
                  <w:r>
                    <w:rPr>
                      <w:vertAlign w:val="superscript"/>
                    </w:rPr>
                    <w:t>-6</w:t>
                  </w:r>
                  <w: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二氧化硫</w:t>
                  </w:r>
                </w:p>
              </w:tc>
              <w:tc>
                <w:tcPr>
                  <w:tcW w:w="3050" w:type="dxa"/>
                  <w:vAlign w:val="center"/>
                </w:tcPr>
                <w:p>
                  <w:pPr>
                    <w:pStyle w:val="66"/>
                    <w:rPr>
                      <w:color w:val="auto"/>
                      <w:szCs w:val="21"/>
                    </w:rPr>
                  </w:pPr>
                  <w:r>
                    <w:rPr>
                      <w:color w:val="auto"/>
                    </w:rPr>
                    <w:t>0.95×10</w:t>
                  </w:r>
                  <w:r>
                    <w:rPr>
                      <w:color w:val="auto"/>
                      <w:vertAlign w:val="superscript"/>
                    </w:rPr>
                    <w:t>-6</w:t>
                  </w:r>
                  <w:r>
                    <w:rPr>
                      <w:color w:val="auto"/>
                    </w:rPr>
                    <w:t>t/a</w:t>
                  </w:r>
                </w:p>
              </w:tc>
              <w:tc>
                <w:tcPr>
                  <w:tcW w:w="3092" w:type="dxa"/>
                  <w:vAlign w:val="center"/>
                </w:tcPr>
                <w:p>
                  <w:pPr>
                    <w:pStyle w:val="66"/>
                    <w:rPr>
                      <w:color w:val="auto"/>
                      <w:szCs w:val="21"/>
                    </w:rPr>
                  </w:pPr>
                  <w:r>
                    <w:rPr>
                      <w:color w:val="auto"/>
                    </w:rPr>
                    <w:t>0.95×10</w:t>
                  </w:r>
                  <w:r>
                    <w:rPr>
                      <w:color w:val="auto"/>
                      <w:vertAlign w:val="superscript"/>
                    </w:rPr>
                    <w:t>-6</w:t>
                  </w:r>
                  <w:r>
                    <w:rPr>
                      <w:color w:val="auto"/>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Merge w:val="continue"/>
                  <w:vAlign w:val="center"/>
                </w:tcPr>
                <w:p>
                  <w:pPr>
                    <w:pStyle w:val="167"/>
                  </w:pPr>
                </w:p>
              </w:tc>
              <w:tc>
                <w:tcPr>
                  <w:tcW w:w="846" w:type="dxa"/>
                  <w:vAlign w:val="center"/>
                </w:tcPr>
                <w:p>
                  <w:pPr>
                    <w:pStyle w:val="167"/>
                  </w:pPr>
                  <w:r>
                    <w:t>氮氧化物</w:t>
                  </w:r>
                </w:p>
              </w:tc>
              <w:tc>
                <w:tcPr>
                  <w:tcW w:w="3050" w:type="dxa"/>
                  <w:vAlign w:val="center"/>
                </w:tcPr>
                <w:p>
                  <w:pPr>
                    <w:pStyle w:val="66"/>
                    <w:rPr>
                      <w:color w:val="auto"/>
                      <w:szCs w:val="21"/>
                    </w:rPr>
                  </w:pPr>
                  <w:r>
                    <w:rPr>
                      <w:color w:val="auto"/>
                      <w:szCs w:val="21"/>
                    </w:rPr>
                    <w:t>1.835</w:t>
                  </w:r>
                  <w:r>
                    <w:rPr>
                      <w:color w:val="auto"/>
                    </w:rPr>
                    <w:t>×10</w:t>
                  </w:r>
                  <w:r>
                    <w:rPr>
                      <w:color w:val="auto"/>
                      <w:vertAlign w:val="superscript"/>
                    </w:rPr>
                    <w:t>-4</w:t>
                  </w:r>
                  <w:r>
                    <w:rPr>
                      <w:color w:val="auto"/>
                    </w:rPr>
                    <w:t>t/a</w:t>
                  </w:r>
                </w:p>
              </w:tc>
              <w:tc>
                <w:tcPr>
                  <w:tcW w:w="3092" w:type="dxa"/>
                  <w:vAlign w:val="center"/>
                </w:tcPr>
                <w:p>
                  <w:pPr>
                    <w:pStyle w:val="66"/>
                    <w:rPr>
                      <w:color w:val="auto"/>
                      <w:szCs w:val="21"/>
                    </w:rPr>
                  </w:pPr>
                  <w:r>
                    <w:rPr>
                      <w:color w:val="auto"/>
                      <w:szCs w:val="21"/>
                    </w:rPr>
                    <w:t>1.835</w:t>
                  </w:r>
                  <w:r>
                    <w:rPr>
                      <w:color w:val="auto"/>
                    </w:rPr>
                    <w:t>×10</w:t>
                  </w:r>
                  <w:r>
                    <w:rPr>
                      <w:color w:val="auto"/>
                      <w:vertAlign w:val="superscript"/>
                    </w:rPr>
                    <w:t>-4</w:t>
                  </w:r>
                  <w:r>
                    <w:rPr>
                      <w:color w:val="auto"/>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Align w:val="center"/>
                </w:tcPr>
                <w:p>
                  <w:pPr>
                    <w:pStyle w:val="167"/>
                  </w:pPr>
                  <w:r>
                    <w:t>废水</w:t>
                  </w:r>
                </w:p>
              </w:tc>
              <w:tc>
                <w:tcPr>
                  <w:tcW w:w="997" w:type="dxa"/>
                  <w:vAlign w:val="center"/>
                </w:tcPr>
                <w:p>
                  <w:pPr>
                    <w:pStyle w:val="167"/>
                  </w:pPr>
                  <w:r>
                    <w:t>办公生活</w:t>
                  </w:r>
                </w:p>
              </w:tc>
              <w:tc>
                <w:tcPr>
                  <w:tcW w:w="846" w:type="dxa"/>
                  <w:vAlign w:val="center"/>
                </w:tcPr>
                <w:p>
                  <w:pPr>
                    <w:pStyle w:val="167"/>
                  </w:pPr>
                  <w:r>
                    <w:t>废水量</w:t>
                  </w:r>
                </w:p>
              </w:tc>
              <w:tc>
                <w:tcPr>
                  <w:tcW w:w="3050" w:type="dxa"/>
                  <w:vAlign w:val="center"/>
                </w:tcPr>
                <w:p>
                  <w:pPr>
                    <w:pStyle w:val="167"/>
                  </w:pPr>
                  <w:r>
                    <w:t>8.05m³/a</w:t>
                  </w:r>
                </w:p>
              </w:tc>
              <w:tc>
                <w:tcPr>
                  <w:tcW w:w="3092" w:type="dxa"/>
                  <w:vAlign w:val="center"/>
                </w:tcPr>
                <w:p>
                  <w:pPr>
                    <w:pStyle w:val="167"/>
                  </w:pPr>
                  <w: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restart"/>
                  <w:vAlign w:val="center"/>
                </w:tcPr>
                <w:p>
                  <w:pPr>
                    <w:pStyle w:val="167"/>
                  </w:pPr>
                  <w:r>
                    <w:t>固废</w:t>
                  </w:r>
                </w:p>
              </w:tc>
              <w:tc>
                <w:tcPr>
                  <w:tcW w:w="997" w:type="dxa"/>
                  <w:vAlign w:val="center"/>
                </w:tcPr>
                <w:p>
                  <w:pPr>
                    <w:pStyle w:val="167"/>
                  </w:pPr>
                  <w:r>
                    <w:t>除尘系统</w:t>
                  </w:r>
                </w:p>
              </w:tc>
              <w:tc>
                <w:tcPr>
                  <w:tcW w:w="846" w:type="dxa"/>
                  <w:vAlign w:val="center"/>
                </w:tcPr>
                <w:p>
                  <w:pPr>
                    <w:pStyle w:val="167"/>
                  </w:pPr>
                  <w:r>
                    <w:t>除尘器收集粉尘</w:t>
                  </w:r>
                </w:p>
              </w:tc>
              <w:tc>
                <w:tcPr>
                  <w:tcW w:w="3050" w:type="dxa"/>
                  <w:vAlign w:val="center"/>
                </w:tcPr>
                <w:p>
                  <w:pPr>
                    <w:pStyle w:val="167"/>
                  </w:pPr>
                  <w:r>
                    <w:t>0.3747</w:t>
                  </w:r>
                </w:p>
              </w:tc>
              <w:tc>
                <w:tcPr>
                  <w:tcW w:w="3092" w:type="dxa"/>
                  <w:vAlign w:val="center"/>
                </w:tcPr>
                <w:p>
                  <w:pPr>
                    <w:pStyle w:val="167"/>
                  </w:pPr>
                  <w:r>
                    <w:t>0（收集后作为粉料回用于生产）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Align w:val="center"/>
                </w:tcPr>
                <w:p>
                  <w:pPr>
                    <w:pStyle w:val="167"/>
                  </w:pPr>
                  <w:r>
                    <w:t>沥青混凝土拌合</w:t>
                  </w:r>
                </w:p>
              </w:tc>
              <w:tc>
                <w:tcPr>
                  <w:tcW w:w="846" w:type="dxa"/>
                  <w:vAlign w:val="center"/>
                </w:tcPr>
                <w:p>
                  <w:pPr>
                    <w:pStyle w:val="167"/>
                  </w:pPr>
                  <w:r>
                    <w:t>滴漏沥青及拌合残渣</w:t>
                  </w:r>
                </w:p>
              </w:tc>
              <w:tc>
                <w:tcPr>
                  <w:tcW w:w="3050" w:type="dxa"/>
                  <w:vAlign w:val="center"/>
                </w:tcPr>
                <w:p>
                  <w:pPr>
                    <w:pStyle w:val="167"/>
                  </w:pPr>
                  <w:r>
                    <w:t>0.2</w:t>
                  </w:r>
                </w:p>
              </w:tc>
              <w:tc>
                <w:tcPr>
                  <w:tcW w:w="3092" w:type="dxa"/>
                  <w:vAlign w:val="center"/>
                </w:tcPr>
                <w:p>
                  <w:pPr>
                    <w:pStyle w:val="167"/>
                  </w:pPr>
                  <w:r>
                    <w:t>0（收集后清运至云龙公路分局废料堆弃场堆存处置）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Align w:val="center"/>
                </w:tcPr>
                <w:p>
                  <w:pPr>
                    <w:pStyle w:val="167"/>
                  </w:pPr>
                  <w:r>
                    <w:t>沥青加热、保温</w:t>
                  </w:r>
                </w:p>
              </w:tc>
              <w:tc>
                <w:tcPr>
                  <w:tcW w:w="846" w:type="dxa"/>
                  <w:vAlign w:val="center"/>
                </w:tcPr>
                <w:p>
                  <w:pPr>
                    <w:pStyle w:val="167"/>
                  </w:pPr>
                  <w:r>
                    <w:t>废导热油</w:t>
                  </w:r>
                </w:p>
              </w:tc>
              <w:tc>
                <w:tcPr>
                  <w:tcW w:w="3050" w:type="dxa"/>
                  <w:vAlign w:val="center"/>
                </w:tcPr>
                <w:p>
                  <w:pPr>
                    <w:pStyle w:val="167"/>
                  </w:pPr>
                  <w:r>
                    <w:t>2.9</w:t>
                  </w:r>
                </w:p>
              </w:tc>
              <w:tc>
                <w:tcPr>
                  <w:tcW w:w="3092" w:type="dxa"/>
                  <w:vMerge w:val="restart"/>
                  <w:vAlign w:val="center"/>
                </w:tcPr>
                <w:p>
                  <w:pPr>
                    <w:pStyle w:val="167"/>
                  </w:pPr>
                  <w:r>
                    <w:t>0（暂存于危险废物暂存间，委托相关资质单位定期清运处置）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Align w:val="center"/>
                </w:tcPr>
                <w:p>
                  <w:pPr>
                    <w:pStyle w:val="167"/>
                  </w:pPr>
                  <w:r>
                    <w:t>生产设备维护</w:t>
                  </w:r>
                </w:p>
              </w:tc>
              <w:tc>
                <w:tcPr>
                  <w:tcW w:w="846" w:type="dxa"/>
                  <w:vAlign w:val="center"/>
                </w:tcPr>
                <w:p>
                  <w:pPr>
                    <w:pStyle w:val="167"/>
                  </w:pPr>
                  <w:r>
                    <w:t>废润滑油</w:t>
                  </w:r>
                </w:p>
              </w:tc>
              <w:tc>
                <w:tcPr>
                  <w:tcW w:w="3050" w:type="dxa"/>
                  <w:vAlign w:val="center"/>
                </w:tcPr>
                <w:p>
                  <w:pPr>
                    <w:pStyle w:val="167"/>
                  </w:pPr>
                  <w:r>
                    <w:t>0.02</w:t>
                  </w:r>
                </w:p>
              </w:tc>
              <w:tc>
                <w:tcPr>
                  <w:tcW w:w="3092" w:type="dxa"/>
                  <w:vMerge w:val="continue"/>
                  <w:vAlign w:val="center"/>
                </w:tcPr>
                <w:p>
                  <w:pPr>
                    <w:pStyle w:val="16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Align w:val="center"/>
                </w:tcPr>
                <w:p>
                  <w:pPr>
                    <w:pStyle w:val="167"/>
                  </w:pPr>
                  <w:r>
                    <w:t>沥青烟气、有机废气治理</w:t>
                  </w:r>
                </w:p>
              </w:tc>
              <w:tc>
                <w:tcPr>
                  <w:tcW w:w="846" w:type="dxa"/>
                  <w:vAlign w:val="center"/>
                </w:tcPr>
                <w:p>
                  <w:pPr>
                    <w:pStyle w:val="167"/>
                  </w:pPr>
                  <w:r>
                    <w:t>废活性炭</w:t>
                  </w:r>
                </w:p>
              </w:tc>
              <w:tc>
                <w:tcPr>
                  <w:tcW w:w="3050" w:type="dxa"/>
                  <w:vAlign w:val="center"/>
                </w:tcPr>
                <w:p>
                  <w:pPr>
                    <w:pStyle w:val="167"/>
                  </w:pPr>
                  <w:r>
                    <w:t>0.27068</w:t>
                  </w:r>
                </w:p>
              </w:tc>
              <w:tc>
                <w:tcPr>
                  <w:tcW w:w="3092" w:type="dxa"/>
                  <w:vMerge w:val="continue"/>
                  <w:vAlign w:val="center"/>
                </w:tcPr>
                <w:p>
                  <w:pPr>
                    <w:pStyle w:val="16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Align w:val="center"/>
                </w:tcPr>
                <w:p>
                  <w:pPr>
                    <w:pStyle w:val="167"/>
                  </w:pPr>
                  <w:r>
                    <w:t>生产过程、设备维护</w:t>
                  </w:r>
                </w:p>
              </w:tc>
              <w:tc>
                <w:tcPr>
                  <w:tcW w:w="846" w:type="dxa"/>
                  <w:vAlign w:val="center"/>
                </w:tcPr>
                <w:p>
                  <w:pPr>
                    <w:pStyle w:val="167"/>
                  </w:pPr>
                  <w:r>
                    <w:t>废弃的含油抹布、劳保用品</w:t>
                  </w:r>
                </w:p>
              </w:tc>
              <w:tc>
                <w:tcPr>
                  <w:tcW w:w="3050" w:type="dxa"/>
                  <w:vAlign w:val="center"/>
                </w:tcPr>
                <w:p>
                  <w:pPr>
                    <w:pStyle w:val="167"/>
                  </w:pPr>
                  <w:r>
                    <w:t>0.02</w:t>
                  </w:r>
                </w:p>
              </w:tc>
              <w:tc>
                <w:tcPr>
                  <w:tcW w:w="3092" w:type="dxa"/>
                  <w:vMerge w:val="restart"/>
                  <w:vAlign w:val="center"/>
                </w:tcPr>
                <w:p>
                  <w:pPr>
                    <w:pStyle w:val="167"/>
                  </w:pPr>
                  <w:r>
                    <w:t>0（经垃圾桶收集后同生活垃圾一起清运至团结乡垃圾收集点）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Merge w:val="continue"/>
                  <w:vAlign w:val="center"/>
                </w:tcPr>
                <w:p>
                  <w:pPr>
                    <w:pStyle w:val="167"/>
                  </w:pPr>
                </w:p>
              </w:tc>
              <w:tc>
                <w:tcPr>
                  <w:tcW w:w="997" w:type="dxa"/>
                  <w:vAlign w:val="center"/>
                </w:tcPr>
                <w:p>
                  <w:pPr>
                    <w:pStyle w:val="167"/>
                  </w:pPr>
                  <w:r>
                    <w:t>员工办公</w:t>
                  </w:r>
                </w:p>
              </w:tc>
              <w:tc>
                <w:tcPr>
                  <w:tcW w:w="846" w:type="dxa"/>
                  <w:vAlign w:val="center"/>
                </w:tcPr>
                <w:p>
                  <w:pPr>
                    <w:pStyle w:val="167"/>
                  </w:pPr>
                  <w:r>
                    <w:t>生活垃圾</w:t>
                  </w:r>
                </w:p>
              </w:tc>
              <w:tc>
                <w:tcPr>
                  <w:tcW w:w="3050" w:type="dxa"/>
                  <w:vAlign w:val="center"/>
                </w:tcPr>
                <w:p>
                  <w:pPr>
                    <w:pStyle w:val="167"/>
                  </w:pPr>
                  <w:r>
                    <w:t>0.075</w:t>
                  </w:r>
                </w:p>
              </w:tc>
              <w:tc>
                <w:tcPr>
                  <w:tcW w:w="3092" w:type="dxa"/>
                  <w:vMerge w:val="continue"/>
                  <w:vAlign w:val="center"/>
                </w:tcPr>
                <w:p>
                  <w:pPr>
                    <w:pStyle w:val="16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70" w:type="dxa"/>
                  <w:vAlign w:val="center"/>
                </w:tcPr>
                <w:p>
                  <w:pPr>
                    <w:pStyle w:val="167"/>
                  </w:pPr>
                  <w:r>
                    <w:t>噪声</w:t>
                  </w:r>
                </w:p>
              </w:tc>
              <w:tc>
                <w:tcPr>
                  <w:tcW w:w="7985" w:type="dxa"/>
                  <w:gridSpan w:val="4"/>
                  <w:vAlign w:val="center"/>
                </w:tcPr>
                <w:p>
                  <w:pPr>
                    <w:pStyle w:val="167"/>
                  </w:pPr>
                  <w:r>
                    <w:t>设备噪声：75~85dB（A）</w:t>
                  </w:r>
                </w:p>
              </w:tc>
            </w:tr>
          </w:tbl>
          <w:p>
            <w:pPr>
              <w:pStyle w:val="126"/>
              <w:rPr>
                <w:color w:val="auto"/>
              </w:rPr>
            </w:pPr>
          </w:p>
          <w:p>
            <w:pPr>
              <w:pStyle w:val="122"/>
            </w:pPr>
          </w:p>
          <w:p>
            <w:pPr>
              <w:pStyle w:val="122"/>
            </w:pPr>
          </w:p>
          <w:p>
            <w:pPr>
              <w:pStyle w:val="122"/>
            </w:pPr>
          </w:p>
        </w:tc>
      </w:tr>
    </w:tbl>
    <w:p>
      <w:pPr>
        <w:pStyle w:val="14"/>
        <w:rPr>
          <w:rFonts w:ascii="Times New Roman" w:hAnsi="Times New Roman"/>
        </w:rPr>
        <w:sectPr>
          <w:pgSz w:w="11907" w:h="16840"/>
          <w:pgMar w:top="1701" w:right="1531" w:bottom="2127" w:left="1531" w:header="851" w:footer="851" w:gutter="0"/>
          <w:cols w:space="720" w:num="1"/>
          <w:docGrid w:linePitch="312" w:charSpace="0"/>
        </w:sectPr>
      </w:pPr>
    </w:p>
    <w:p>
      <w:pPr>
        <w:pStyle w:val="24"/>
        <w:adjustRightInd w:val="0"/>
        <w:snapToGrid w:val="0"/>
        <w:spacing w:before="0" w:beforeAutospacing="0" w:after="0" w:afterAutospacing="0"/>
        <w:jc w:val="center"/>
        <w:outlineLvl w:val="0"/>
        <w:rPr>
          <w:rFonts w:ascii="Times New Roman" w:hAnsi="Times New Roman"/>
          <w:b/>
          <w:bCs/>
          <w:snapToGrid w:val="0"/>
          <w:sz w:val="30"/>
          <w:szCs w:val="30"/>
        </w:rPr>
      </w:pPr>
      <w:bookmarkStart w:id="19" w:name="_Toc1029"/>
      <w:bookmarkStart w:id="20" w:name="_Toc4859"/>
      <w:r>
        <w:rPr>
          <w:rFonts w:ascii="Times New Roman" w:hAnsi="Times New Roman"/>
          <w:b/>
          <w:bCs/>
          <w:snapToGrid w:val="0"/>
          <w:sz w:val="30"/>
          <w:szCs w:val="30"/>
        </w:rPr>
        <w:t>五、</w:t>
      </w:r>
      <w:bookmarkStart w:id="21" w:name="_Hlk54167917"/>
      <w:r>
        <w:rPr>
          <w:rFonts w:ascii="Times New Roman" w:hAnsi="Times New Roman"/>
          <w:b/>
          <w:bCs/>
          <w:snapToGrid w:val="0"/>
          <w:sz w:val="30"/>
          <w:szCs w:val="30"/>
        </w:rPr>
        <w:t>环境保护措施监督检查清单</w:t>
      </w:r>
      <w:bookmarkEnd w:id="19"/>
      <w:bookmarkEnd w:id="20"/>
      <w:bookmarkEnd w:id="21"/>
    </w:p>
    <w:tbl>
      <w:tblPr>
        <w:tblStyle w:val="28"/>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76"/>
        <w:gridCol w:w="850"/>
        <w:gridCol w:w="3969"/>
        <w:gridCol w:w="17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tcBorders>
              <w:tl2br w:val="single" w:color="auto" w:sz="4" w:space="0"/>
            </w:tcBorders>
            <w:vAlign w:val="center"/>
          </w:tcPr>
          <w:p>
            <w:pPr>
              <w:pStyle w:val="146"/>
              <w:rPr>
                <w:b w:val="0"/>
                <w:color w:val="auto"/>
                <w:sz w:val="24"/>
                <w:szCs w:val="24"/>
              </w:rPr>
            </w:pPr>
            <w:r>
              <w:rPr>
                <w:rFonts w:hint="eastAsia"/>
                <w:b w:val="0"/>
                <w:color w:val="auto"/>
                <w:sz w:val="24"/>
                <w:szCs w:val="24"/>
              </w:rPr>
              <w:t xml:space="preserve">  </w:t>
            </w:r>
            <w:r>
              <w:rPr>
                <w:b w:val="0"/>
                <w:color w:val="auto"/>
                <w:sz w:val="24"/>
                <w:szCs w:val="24"/>
              </w:rPr>
              <w:t>内容</w:t>
            </w:r>
          </w:p>
          <w:p>
            <w:pPr>
              <w:pStyle w:val="146"/>
              <w:jc w:val="both"/>
              <w:rPr>
                <w:b w:val="0"/>
                <w:color w:val="auto"/>
                <w:sz w:val="24"/>
                <w:szCs w:val="24"/>
              </w:rPr>
            </w:pPr>
            <w:r>
              <w:rPr>
                <w:b w:val="0"/>
                <w:color w:val="auto"/>
                <w:sz w:val="24"/>
                <w:szCs w:val="24"/>
              </w:rPr>
              <w:t>要素</w:t>
            </w:r>
          </w:p>
        </w:tc>
        <w:tc>
          <w:tcPr>
            <w:tcW w:w="1276" w:type="dxa"/>
            <w:vAlign w:val="center"/>
          </w:tcPr>
          <w:p>
            <w:pPr>
              <w:pStyle w:val="146"/>
              <w:rPr>
                <w:b w:val="0"/>
                <w:color w:val="auto"/>
                <w:sz w:val="24"/>
                <w:szCs w:val="24"/>
              </w:rPr>
            </w:pPr>
            <w:r>
              <w:rPr>
                <w:b w:val="0"/>
                <w:color w:val="auto"/>
                <w:sz w:val="24"/>
                <w:szCs w:val="24"/>
              </w:rPr>
              <w:t>排放口（编号、名称）/污染源</w:t>
            </w:r>
          </w:p>
        </w:tc>
        <w:tc>
          <w:tcPr>
            <w:tcW w:w="850" w:type="dxa"/>
            <w:vAlign w:val="center"/>
          </w:tcPr>
          <w:p>
            <w:pPr>
              <w:pStyle w:val="146"/>
              <w:rPr>
                <w:b w:val="0"/>
                <w:color w:val="auto"/>
                <w:sz w:val="24"/>
                <w:szCs w:val="24"/>
              </w:rPr>
            </w:pPr>
            <w:r>
              <w:rPr>
                <w:b w:val="0"/>
                <w:color w:val="auto"/>
                <w:sz w:val="24"/>
                <w:szCs w:val="24"/>
              </w:rPr>
              <w:t>污染物项目</w:t>
            </w:r>
          </w:p>
        </w:tc>
        <w:tc>
          <w:tcPr>
            <w:tcW w:w="3969" w:type="dxa"/>
            <w:vAlign w:val="center"/>
          </w:tcPr>
          <w:p>
            <w:pPr>
              <w:pStyle w:val="146"/>
              <w:rPr>
                <w:b w:val="0"/>
                <w:color w:val="auto"/>
                <w:sz w:val="24"/>
                <w:szCs w:val="24"/>
              </w:rPr>
            </w:pPr>
            <w:r>
              <w:rPr>
                <w:b w:val="0"/>
                <w:color w:val="auto"/>
                <w:sz w:val="24"/>
                <w:szCs w:val="24"/>
              </w:rPr>
              <w:t>环境保护措施</w:t>
            </w:r>
          </w:p>
        </w:tc>
        <w:tc>
          <w:tcPr>
            <w:tcW w:w="1749" w:type="dxa"/>
            <w:vAlign w:val="center"/>
          </w:tcPr>
          <w:p>
            <w:pPr>
              <w:pStyle w:val="146"/>
              <w:rPr>
                <w:b w:val="0"/>
                <w:color w:val="auto"/>
                <w:sz w:val="24"/>
                <w:szCs w:val="24"/>
              </w:rPr>
            </w:pPr>
            <w:r>
              <w:rPr>
                <w:b w:val="0"/>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restart"/>
            <w:vAlign w:val="center"/>
          </w:tcPr>
          <w:p>
            <w:pPr>
              <w:pStyle w:val="146"/>
              <w:rPr>
                <w:b w:val="0"/>
                <w:color w:val="auto"/>
                <w:sz w:val="24"/>
                <w:szCs w:val="24"/>
              </w:rPr>
            </w:pPr>
            <w:r>
              <w:rPr>
                <w:b w:val="0"/>
                <w:color w:val="auto"/>
                <w:sz w:val="24"/>
                <w:szCs w:val="24"/>
              </w:rPr>
              <w:t>大气环境</w:t>
            </w:r>
          </w:p>
        </w:tc>
        <w:tc>
          <w:tcPr>
            <w:tcW w:w="1276" w:type="dxa"/>
            <w:vAlign w:val="center"/>
          </w:tcPr>
          <w:p>
            <w:pPr>
              <w:pStyle w:val="146"/>
              <w:rPr>
                <w:b w:val="0"/>
                <w:color w:val="auto"/>
                <w:sz w:val="24"/>
                <w:szCs w:val="24"/>
              </w:rPr>
            </w:pPr>
            <w:r>
              <w:rPr>
                <w:b w:val="0"/>
                <w:color w:val="auto"/>
                <w:sz w:val="24"/>
                <w:szCs w:val="24"/>
              </w:rPr>
              <w:t>DA001</w:t>
            </w:r>
          </w:p>
        </w:tc>
        <w:tc>
          <w:tcPr>
            <w:tcW w:w="850" w:type="dxa"/>
            <w:vAlign w:val="center"/>
          </w:tcPr>
          <w:p>
            <w:pPr>
              <w:pStyle w:val="146"/>
              <w:rPr>
                <w:b w:val="0"/>
                <w:color w:val="auto"/>
                <w:sz w:val="24"/>
                <w:szCs w:val="24"/>
              </w:rPr>
            </w:pPr>
            <w:r>
              <w:rPr>
                <w:b w:val="0"/>
                <w:color w:val="auto"/>
                <w:sz w:val="24"/>
                <w:szCs w:val="24"/>
              </w:rPr>
              <w:t>烟（粉）尘、二氧化硫、氮氧化物、烟气黑度（林格曼级）</w:t>
            </w:r>
          </w:p>
        </w:tc>
        <w:tc>
          <w:tcPr>
            <w:tcW w:w="3969" w:type="dxa"/>
            <w:vAlign w:val="center"/>
          </w:tcPr>
          <w:p>
            <w:pPr>
              <w:pStyle w:val="146"/>
              <w:rPr>
                <w:b w:val="0"/>
                <w:color w:val="auto"/>
                <w:sz w:val="24"/>
                <w:szCs w:val="24"/>
              </w:rPr>
            </w:pPr>
            <w:r>
              <w:rPr>
                <w:b w:val="0"/>
                <w:color w:val="auto"/>
                <w:sz w:val="24"/>
                <w:szCs w:val="24"/>
              </w:rPr>
              <w:t>骨料干燥滚筒装有两级除尘系统（重力除尘和大气反吹式布袋除尘器相结合），炒料粉尘经前部的重力除尘器收集，重力除尘器收集不完全粉尘进入大气反吹式布袋除尘器进行收集，收集效率为100%。烘干粉尘经除尘系统（额定风量45000m³/h）处理后通过15m高排气筒（DA001）进行有组织排放；</w:t>
            </w:r>
          </w:p>
          <w:p>
            <w:pPr>
              <w:pStyle w:val="146"/>
              <w:rPr>
                <w:b w:val="0"/>
                <w:color w:val="auto"/>
                <w:sz w:val="24"/>
                <w:szCs w:val="24"/>
              </w:rPr>
            </w:pPr>
            <w:r>
              <w:rPr>
                <w:b w:val="0"/>
                <w:color w:val="auto"/>
                <w:sz w:val="24"/>
                <w:szCs w:val="24"/>
              </w:rPr>
              <w:t>油气两用燃烧机燃烧废气经两级除尘系统（额定风量45000m³/h）处理后通过15m高排气筒（DA001）进行有组织排放。</w:t>
            </w:r>
          </w:p>
        </w:tc>
        <w:tc>
          <w:tcPr>
            <w:tcW w:w="1749" w:type="dxa"/>
            <w:vAlign w:val="center"/>
          </w:tcPr>
          <w:p>
            <w:pPr>
              <w:pStyle w:val="146"/>
              <w:rPr>
                <w:b w:val="0"/>
                <w:color w:val="auto"/>
                <w:sz w:val="24"/>
                <w:szCs w:val="24"/>
              </w:rPr>
            </w:pPr>
            <w:r>
              <w:rPr>
                <w:b w:val="0"/>
                <w:color w:val="auto"/>
                <w:sz w:val="24"/>
                <w:szCs w:val="24"/>
              </w:rPr>
              <w:t>烟（粉）尘、烟气黑度（林格曼级）、二氧化硫排放浓度达到《工业炉窑大气污染物排放标准》（GB 16297-1996）二级标准限值要求其中氨氧化物排放浓度达到《大气污染物综合排放标准》（GB16297-1996）二级标准要求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956" w:type="dxa"/>
            <w:vMerge w:val="continue"/>
            <w:vAlign w:val="center"/>
          </w:tcPr>
          <w:p>
            <w:pPr>
              <w:pStyle w:val="146"/>
              <w:rPr>
                <w:b w:val="0"/>
                <w:color w:val="auto"/>
                <w:sz w:val="24"/>
                <w:szCs w:val="24"/>
              </w:rPr>
            </w:pPr>
          </w:p>
        </w:tc>
        <w:tc>
          <w:tcPr>
            <w:tcW w:w="1276" w:type="dxa"/>
            <w:vAlign w:val="center"/>
          </w:tcPr>
          <w:p>
            <w:pPr>
              <w:pStyle w:val="146"/>
              <w:rPr>
                <w:b w:val="0"/>
                <w:color w:val="auto"/>
                <w:sz w:val="24"/>
                <w:szCs w:val="24"/>
              </w:rPr>
            </w:pPr>
            <w:r>
              <w:rPr>
                <w:b w:val="0"/>
                <w:color w:val="auto"/>
                <w:sz w:val="24"/>
                <w:szCs w:val="24"/>
              </w:rPr>
              <w:t>DA002</w:t>
            </w:r>
          </w:p>
        </w:tc>
        <w:tc>
          <w:tcPr>
            <w:tcW w:w="850" w:type="dxa"/>
            <w:vAlign w:val="center"/>
          </w:tcPr>
          <w:p>
            <w:pPr>
              <w:pStyle w:val="146"/>
              <w:rPr>
                <w:b w:val="0"/>
                <w:color w:val="auto"/>
                <w:sz w:val="24"/>
                <w:szCs w:val="24"/>
              </w:rPr>
            </w:pPr>
            <w:r>
              <w:rPr>
                <w:b w:val="0"/>
                <w:color w:val="auto"/>
                <w:sz w:val="24"/>
                <w:szCs w:val="24"/>
              </w:rPr>
              <w:t>非甲烷总烃、沥青烟、苯并[a]芘</w:t>
            </w:r>
          </w:p>
        </w:tc>
        <w:tc>
          <w:tcPr>
            <w:tcW w:w="3969" w:type="dxa"/>
            <w:vAlign w:val="center"/>
          </w:tcPr>
          <w:p>
            <w:pPr>
              <w:pStyle w:val="146"/>
              <w:rPr>
                <w:b w:val="0"/>
                <w:color w:val="auto"/>
                <w:sz w:val="24"/>
                <w:szCs w:val="24"/>
              </w:rPr>
            </w:pPr>
            <w:r>
              <w:rPr>
                <w:b w:val="0"/>
                <w:color w:val="auto"/>
                <w:sz w:val="24"/>
                <w:szCs w:val="24"/>
              </w:rPr>
              <w:t>石油沥青由专用罐车运送到厂区后，采用专用泵将其输送至沥青罐内，沥青罐中的含沥青烟气的排空气体由呼气口排出，建设单位通过专用钢质排气管将产生的有机废气（以非甲烷总烃计）排入喷淋塔；在沥青加热、搅拌、卸料时均会有少量沥青烟气产生，建设单位于沥青储存罐呼吸口装设钢质排气管，并在卸料口加装集气罩和钢质排气管。运营期沥青加热、搅拌、卸料过程中产生的有机废气经喷淋塔+经活性炭二级吸附装置（额定风量15000m³/h）处理后通过15m高排气筒DA002有组织排放。</w:t>
            </w:r>
          </w:p>
        </w:tc>
        <w:tc>
          <w:tcPr>
            <w:tcW w:w="1749" w:type="dxa"/>
            <w:vAlign w:val="center"/>
          </w:tcPr>
          <w:p>
            <w:pPr>
              <w:pStyle w:val="146"/>
              <w:rPr>
                <w:b w:val="0"/>
                <w:color w:val="auto"/>
                <w:sz w:val="24"/>
                <w:szCs w:val="24"/>
              </w:rPr>
            </w:pPr>
            <w:r>
              <w:rPr>
                <w:b w:val="0"/>
                <w:color w:val="auto"/>
                <w:sz w:val="24"/>
                <w:szCs w:val="24"/>
              </w:rPr>
              <w:t>沥青烟气排放执行《大气污染物综合排放标准》（GB16297-1996）“表2”二级排放标准和无组织排放监控浓度限值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956" w:type="dxa"/>
            <w:vMerge w:val="continue"/>
            <w:vAlign w:val="center"/>
          </w:tcPr>
          <w:p>
            <w:pPr>
              <w:pStyle w:val="146"/>
              <w:rPr>
                <w:b w:val="0"/>
                <w:color w:val="auto"/>
                <w:sz w:val="24"/>
                <w:szCs w:val="24"/>
              </w:rPr>
            </w:pPr>
          </w:p>
        </w:tc>
        <w:tc>
          <w:tcPr>
            <w:tcW w:w="1276" w:type="dxa"/>
            <w:vAlign w:val="center"/>
          </w:tcPr>
          <w:p>
            <w:pPr>
              <w:pStyle w:val="146"/>
              <w:rPr>
                <w:b w:val="0"/>
                <w:color w:val="auto"/>
                <w:sz w:val="24"/>
                <w:szCs w:val="24"/>
              </w:rPr>
            </w:pPr>
            <w:r>
              <w:rPr>
                <w:b w:val="0"/>
                <w:color w:val="auto"/>
                <w:sz w:val="24"/>
                <w:szCs w:val="24"/>
              </w:rPr>
              <w:t>投料</w:t>
            </w:r>
          </w:p>
        </w:tc>
        <w:tc>
          <w:tcPr>
            <w:tcW w:w="850" w:type="dxa"/>
            <w:vAlign w:val="center"/>
          </w:tcPr>
          <w:p>
            <w:pPr>
              <w:pStyle w:val="146"/>
              <w:rPr>
                <w:b w:val="0"/>
                <w:color w:val="auto"/>
                <w:sz w:val="24"/>
                <w:szCs w:val="24"/>
              </w:rPr>
            </w:pPr>
            <w:r>
              <w:rPr>
                <w:b w:val="0"/>
                <w:color w:val="auto"/>
                <w:sz w:val="24"/>
                <w:szCs w:val="24"/>
              </w:rPr>
              <w:t>TSP</w:t>
            </w:r>
          </w:p>
        </w:tc>
        <w:tc>
          <w:tcPr>
            <w:tcW w:w="3969" w:type="dxa"/>
            <w:vAlign w:val="center"/>
          </w:tcPr>
          <w:p>
            <w:pPr>
              <w:pStyle w:val="146"/>
              <w:rPr>
                <w:b w:val="0"/>
                <w:color w:val="auto"/>
                <w:sz w:val="24"/>
                <w:szCs w:val="24"/>
              </w:rPr>
            </w:pPr>
            <w:r>
              <w:rPr>
                <w:b w:val="0"/>
                <w:color w:val="auto"/>
                <w:sz w:val="24"/>
                <w:szCs w:val="24"/>
              </w:rPr>
              <w:t>皮带给料器（料斗）采用彩钢瓦对皮带给料器（料斗）进行三面封闭处理，并设置喷淋装置投料作业时对投料粉尘进行洒水喷湿降尘；</w:t>
            </w:r>
          </w:p>
        </w:tc>
        <w:tc>
          <w:tcPr>
            <w:tcW w:w="1749" w:type="dxa"/>
            <w:vAlign w:val="center"/>
          </w:tcPr>
          <w:p>
            <w:pPr>
              <w:pStyle w:val="146"/>
              <w:rPr>
                <w:b w:val="0"/>
                <w:color w:val="auto"/>
                <w:sz w:val="24"/>
                <w:szCs w:val="24"/>
              </w:rPr>
            </w:pPr>
            <w:r>
              <w:rPr>
                <w:b w:val="0"/>
                <w:color w:val="auto"/>
                <w:sz w:val="24"/>
                <w:szCs w:val="24"/>
              </w:rPr>
              <w:t>TSP排放执行《大气污染物综合排放标准》（GB 16297-1996）中“表2”中无组织排放监控浓度限值要求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46"/>
              <w:rPr>
                <w:b w:val="0"/>
                <w:color w:val="auto"/>
                <w:sz w:val="24"/>
                <w:szCs w:val="24"/>
              </w:rPr>
            </w:pPr>
            <w:r>
              <w:rPr>
                <w:b w:val="0"/>
                <w:color w:val="auto"/>
                <w:sz w:val="24"/>
                <w:szCs w:val="24"/>
              </w:rPr>
              <w:t>地表水环境</w:t>
            </w:r>
          </w:p>
        </w:tc>
        <w:tc>
          <w:tcPr>
            <w:tcW w:w="1276" w:type="dxa"/>
            <w:vAlign w:val="center"/>
          </w:tcPr>
          <w:p>
            <w:pPr>
              <w:pStyle w:val="146"/>
              <w:rPr>
                <w:b w:val="0"/>
                <w:color w:val="auto"/>
                <w:sz w:val="24"/>
                <w:szCs w:val="24"/>
              </w:rPr>
            </w:pPr>
            <w:r>
              <w:rPr>
                <w:b w:val="0"/>
                <w:color w:val="auto"/>
                <w:sz w:val="24"/>
                <w:szCs w:val="24"/>
              </w:rPr>
              <w:t>生产及办公废水</w:t>
            </w:r>
          </w:p>
        </w:tc>
        <w:tc>
          <w:tcPr>
            <w:tcW w:w="850" w:type="dxa"/>
            <w:vAlign w:val="center"/>
          </w:tcPr>
          <w:p>
            <w:pPr>
              <w:pStyle w:val="146"/>
              <w:rPr>
                <w:b w:val="0"/>
                <w:color w:val="auto"/>
                <w:sz w:val="24"/>
                <w:szCs w:val="24"/>
              </w:rPr>
            </w:pPr>
            <w:r>
              <w:rPr>
                <w:b w:val="0"/>
                <w:color w:val="auto"/>
                <w:sz w:val="24"/>
                <w:szCs w:val="24"/>
              </w:rPr>
              <w:t>CODcr</w:t>
            </w:r>
            <w:r>
              <w:rPr>
                <w:b w:val="0"/>
                <w:color w:val="auto"/>
                <w:sz w:val="24"/>
                <w:szCs w:val="24"/>
                <w:lang w:bidi="ar"/>
              </w:rPr>
              <w:t>、</w:t>
            </w:r>
            <w:r>
              <w:rPr>
                <w:b w:val="0"/>
                <w:color w:val="auto"/>
                <w:sz w:val="24"/>
                <w:szCs w:val="24"/>
              </w:rPr>
              <w:t>BOD</w:t>
            </w:r>
            <w:r>
              <w:rPr>
                <w:b w:val="0"/>
                <w:color w:val="auto"/>
                <w:sz w:val="24"/>
                <w:szCs w:val="24"/>
                <w:vertAlign w:val="subscript"/>
              </w:rPr>
              <w:t>5</w:t>
            </w:r>
            <w:r>
              <w:rPr>
                <w:b w:val="0"/>
                <w:color w:val="auto"/>
                <w:sz w:val="24"/>
                <w:szCs w:val="24"/>
                <w:lang w:bidi="ar"/>
              </w:rPr>
              <w:t>、</w:t>
            </w:r>
            <w:r>
              <w:rPr>
                <w:b w:val="0"/>
                <w:color w:val="auto"/>
                <w:sz w:val="24"/>
                <w:szCs w:val="24"/>
              </w:rPr>
              <w:t>SS</w:t>
            </w:r>
            <w:r>
              <w:rPr>
                <w:b w:val="0"/>
                <w:color w:val="auto"/>
                <w:sz w:val="24"/>
                <w:szCs w:val="24"/>
                <w:lang w:bidi="ar"/>
              </w:rPr>
              <w:t>、</w:t>
            </w:r>
            <w:r>
              <w:rPr>
                <w:b w:val="0"/>
                <w:color w:val="auto"/>
                <w:sz w:val="24"/>
                <w:szCs w:val="24"/>
              </w:rPr>
              <w:t>氨氮</w:t>
            </w:r>
            <w:r>
              <w:rPr>
                <w:b w:val="0"/>
                <w:color w:val="auto"/>
                <w:sz w:val="24"/>
                <w:szCs w:val="24"/>
                <w:lang w:bidi="ar"/>
              </w:rPr>
              <w:t>、总磷</w:t>
            </w:r>
          </w:p>
        </w:tc>
        <w:tc>
          <w:tcPr>
            <w:tcW w:w="3969" w:type="dxa"/>
            <w:vAlign w:val="center"/>
          </w:tcPr>
          <w:p>
            <w:pPr>
              <w:pStyle w:val="146"/>
              <w:rPr>
                <w:b w:val="0"/>
                <w:color w:val="auto"/>
                <w:sz w:val="24"/>
                <w:szCs w:val="24"/>
              </w:rPr>
            </w:pPr>
            <w:r>
              <w:rPr>
                <w:b w:val="0"/>
                <w:color w:val="auto"/>
                <w:sz w:val="24"/>
                <w:szCs w:val="24"/>
              </w:rPr>
              <w:t>项目采用“雨污分流”的排水方式，初期雨水经拟建容积为30m</w:t>
            </w:r>
            <w:r>
              <w:rPr>
                <w:b w:val="0"/>
                <w:color w:val="auto"/>
                <w:sz w:val="24"/>
                <w:szCs w:val="24"/>
                <w:vertAlign w:val="superscript"/>
              </w:rPr>
              <w:t>3</w:t>
            </w:r>
            <w:r>
              <w:rPr>
                <w:b w:val="0"/>
                <w:color w:val="auto"/>
                <w:sz w:val="24"/>
                <w:szCs w:val="24"/>
              </w:rPr>
              <w:t>的初期雨水收集池收集沉淀处理后回用于洒水降尘，不外排；项目沥青烟气处理过程中喷淋塔产生的循环废水，采用容积为2m</w:t>
            </w:r>
            <w:r>
              <w:rPr>
                <w:b w:val="0"/>
                <w:color w:val="auto"/>
                <w:sz w:val="24"/>
                <w:szCs w:val="24"/>
                <w:vertAlign w:val="superscript"/>
              </w:rPr>
              <w:t>3</w:t>
            </w:r>
            <w:r>
              <w:rPr>
                <w:b w:val="0"/>
                <w:color w:val="auto"/>
                <w:sz w:val="24"/>
                <w:szCs w:val="24"/>
              </w:rPr>
              <w:t>的废水储存罐收集后及时运送到沥青路面摊铺现场作为乳化沥青配浆用水使用，不直接外排。项目区不设食宿，不设置办公生活设施，员工洗手、如厕依托云龙公路分局河南石料场公路养护配套改扩建项目洗手台、旱厕等设施，生活污水依托云龙公路分局河南石料场公路养护配套改扩建项目现有旱厕处理后，委托附近村民定期清掏施肥，不外排。</w:t>
            </w:r>
          </w:p>
        </w:tc>
        <w:tc>
          <w:tcPr>
            <w:tcW w:w="1749" w:type="dxa"/>
            <w:vAlign w:val="center"/>
          </w:tcPr>
          <w:p>
            <w:pPr>
              <w:pStyle w:val="146"/>
              <w:rPr>
                <w:b w:val="0"/>
                <w:color w:val="auto"/>
                <w:sz w:val="24"/>
                <w:szCs w:val="24"/>
              </w:rPr>
            </w:pPr>
            <w:r>
              <w:rPr>
                <w:rStyle w:val="123"/>
                <w:b w:val="0"/>
                <w:color w:val="auto"/>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46"/>
              <w:rPr>
                <w:b w:val="0"/>
                <w:color w:val="auto"/>
                <w:sz w:val="24"/>
                <w:szCs w:val="24"/>
              </w:rPr>
            </w:pPr>
            <w:r>
              <w:rPr>
                <w:b w:val="0"/>
                <w:color w:val="auto"/>
                <w:sz w:val="24"/>
                <w:szCs w:val="24"/>
              </w:rPr>
              <w:t>声环境</w:t>
            </w:r>
          </w:p>
        </w:tc>
        <w:tc>
          <w:tcPr>
            <w:tcW w:w="1276" w:type="dxa"/>
            <w:vAlign w:val="center"/>
          </w:tcPr>
          <w:p>
            <w:pPr>
              <w:pStyle w:val="146"/>
              <w:rPr>
                <w:b w:val="0"/>
                <w:color w:val="auto"/>
                <w:sz w:val="24"/>
                <w:szCs w:val="24"/>
              </w:rPr>
            </w:pPr>
            <w:r>
              <w:rPr>
                <w:b w:val="0"/>
                <w:color w:val="auto"/>
                <w:sz w:val="24"/>
                <w:szCs w:val="24"/>
              </w:rPr>
              <w:t>装载机、皮带输送机、烘干滚筒、骨料提升机、封闭式搅拌缸、卸料口、运输车辆、除尘系统</w:t>
            </w:r>
          </w:p>
        </w:tc>
        <w:tc>
          <w:tcPr>
            <w:tcW w:w="850" w:type="dxa"/>
            <w:vAlign w:val="center"/>
          </w:tcPr>
          <w:p>
            <w:pPr>
              <w:pStyle w:val="146"/>
              <w:rPr>
                <w:b w:val="0"/>
                <w:color w:val="auto"/>
                <w:sz w:val="24"/>
                <w:szCs w:val="24"/>
              </w:rPr>
            </w:pPr>
            <w:r>
              <w:rPr>
                <w:b w:val="0"/>
                <w:color w:val="auto"/>
                <w:sz w:val="24"/>
                <w:szCs w:val="24"/>
              </w:rPr>
              <w:t>Leq（A）</w:t>
            </w:r>
          </w:p>
        </w:tc>
        <w:tc>
          <w:tcPr>
            <w:tcW w:w="3969" w:type="dxa"/>
            <w:vAlign w:val="center"/>
          </w:tcPr>
          <w:p>
            <w:pPr>
              <w:pStyle w:val="146"/>
              <w:rPr>
                <w:b w:val="0"/>
                <w:color w:val="auto"/>
                <w:sz w:val="24"/>
                <w:szCs w:val="24"/>
              </w:rPr>
            </w:pPr>
            <w:r>
              <w:rPr>
                <w:b w:val="0"/>
                <w:color w:val="auto"/>
                <w:sz w:val="24"/>
                <w:szCs w:val="24"/>
              </w:rPr>
              <w:t>合理布局，采取减振、建筑隔声等综合降噪措施</w:t>
            </w:r>
          </w:p>
        </w:tc>
        <w:tc>
          <w:tcPr>
            <w:tcW w:w="1749" w:type="dxa"/>
            <w:vAlign w:val="center"/>
          </w:tcPr>
          <w:p>
            <w:pPr>
              <w:pStyle w:val="146"/>
              <w:rPr>
                <w:b w:val="0"/>
                <w:color w:val="auto"/>
                <w:sz w:val="24"/>
                <w:szCs w:val="24"/>
              </w:rPr>
            </w:pPr>
            <w:r>
              <w:rPr>
                <w:b w:val="0"/>
                <w:color w:val="auto"/>
                <w:sz w:val="24"/>
                <w:szCs w:val="24"/>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46"/>
              <w:rPr>
                <w:b w:val="0"/>
                <w:color w:val="auto"/>
                <w:sz w:val="24"/>
                <w:szCs w:val="24"/>
              </w:rPr>
            </w:pPr>
            <w:r>
              <w:rPr>
                <w:b w:val="0"/>
                <w:color w:val="auto"/>
                <w:sz w:val="24"/>
                <w:szCs w:val="24"/>
              </w:rPr>
              <w:t>电磁辐射</w:t>
            </w:r>
          </w:p>
        </w:tc>
        <w:tc>
          <w:tcPr>
            <w:tcW w:w="1276" w:type="dxa"/>
            <w:vAlign w:val="center"/>
          </w:tcPr>
          <w:p>
            <w:pPr>
              <w:pStyle w:val="146"/>
              <w:rPr>
                <w:b w:val="0"/>
                <w:color w:val="auto"/>
                <w:sz w:val="24"/>
                <w:szCs w:val="24"/>
              </w:rPr>
            </w:pPr>
            <w:r>
              <w:rPr>
                <w:b w:val="0"/>
                <w:color w:val="auto"/>
                <w:sz w:val="24"/>
                <w:szCs w:val="24"/>
              </w:rPr>
              <w:t>/</w:t>
            </w:r>
          </w:p>
        </w:tc>
        <w:tc>
          <w:tcPr>
            <w:tcW w:w="850" w:type="dxa"/>
            <w:vAlign w:val="center"/>
          </w:tcPr>
          <w:p>
            <w:pPr>
              <w:pStyle w:val="146"/>
              <w:rPr>
                <w:b w:val="0"/>
                <w:color w:val="auto"/>
                <w:sz w:val="24"/>
                <w:szCs w:val="24"/>
              </w:rPr>
            </w:pPr>
            <w:r>
              <w:rPr>
                <w:b w:val="0"/>
                <w:color w:val="auto"/>
                <w:sz w:val="24"/>
                <w:szCs w:val="24"/>
              </w:rPr>
              <w:t>/</w:t>
            </w:r>
          </w:p>
        </w:tc>
        <w:tc>
          <w:tcPr>
            <w:tcW w:w="3969" w:type="dxa"/>
            <w:vAlign w:val="center"/>
          </w:tcPr>
          <w:p>
            <w:pPr>
              <w:pStyle w:val="146"/>
              <w:rPr>
                <w:b w:val="0"/>
                <w:color w:val="auto"/>
                <w:sz w:val="24"/>
                <w:szCs w:val="24"/>
              </w:rPr>
            </w:pPr>
            <w:r>
              <w:rPr>
                <w:b w:val="0"/>
                <w:color w:val="auto"/>
                <w:sz w:val="24"/>
                <w:szCs w:val="24"/>
              </w:rPr>
              <w:t>/</w:t>
            </w:r>
          </w:p>
        </w:tc>
        <w:tc>
          <w:tcPr>
            <w:tcW w:w="1749" w:type="dxa"/>
            <w:vAlign w:val="center"/>
          </w:tcPr>
          <w:p>
            <w:pPr>
              <w:pStyle w:val="146"/>
              <w:rPr>
                <w:b w:val="0"/>
                <w:color w:val="auto"/>
                <w:sz w:val="24"/>
                <w:szCs w:val="24"/>
              </w:rPr>
            </w:pPr>
            <w:r>
              <w:rPr>
                <w:b w:val="0"/>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46"/>
              <w:rPr>
                <w:b w:val="0"/>
                <w:color w:val="auto"/>
                <w:sz w:val="24"/>
                <w:szCs w:val="24"/>
              </w:rPr>
            </w:pPr>
            <w:r>
              <w:rPr>
                <w:b w:val="0"/>
                <w:color w:val="auto"/>
                <w:sz w:val="24"/>
                <w:szCs w:val="24"/>
              </w:rPr>
              <w:t>固体废物</w:t>
            </w:r>
          </w:p>
        </w:tc>
        <w:tc>
          <w:tcPr>
            <w:tcW w:w="7844" w:type="dxa"/>
            <w:gridSpan w:val="4"/>
            <w:vAlign w:val="center"/>
          </w:tcPr>
          <w:p>
            <w:pPr>
              <w:pStyle w:val="147"/>
            </w:pPr>
            <w:r>
              <w:t>项目除尘系统收集粉尘收集后作为粉料回用于生产；滴漏沥青及拌合残渣收集后清运至云龙公路分局废料堆弃场堆存处置；废导热油、废润滑油、废活性炭等分类收集暂存于危险废物暂存间，定期委托有资质的单位清运处置；废含油抹布、劳保用品及职工生活垃圾经垃圾桶收集后同生活垃圾一起清运至团结乡垃圾收集点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46"/>
              <w:rPr>
                <w:b w:val="0"/>
                <w:color w:val="auto"/>
                <w:sz w:val="24"/>
                <w:szCs w:val="24"/>
              </w:rPr>
            </w:pPr>
            <w:r>
              <w:rPr>
                <w:b w:val="0"/>
                <w:color w:val="auto"/>
                <w:sz w:val="24"/>
                <w:szCs w:val="24"/>
              </w:rPr>
              <w:t>土壤及地下水污染防治措施</w:t>
            </w:r>
          </w:p>
        </w:tc>
        <w:tc>
          <w:tcPr>
            <w:tcW w:w="7844" w:type="dxa"/>
            <w:gridSpan w:val="4"/>
            <w:vAlign w:val="center"/>
          </w:tcPr>
          <w:p>
            <w:pPr>
              <w:pStyle w:val="147"/>
            </w:pPr>
            <w:r>
              <w:t>根据《环境影响评价技术导则-地下水环境》（HJ610-2016），本项目采取分区防控措施：</w:t>
            </w:r>
          </w:p>
          <w:p>
            <w:pPr>
              <w:pStyle w:val="147"/>
            </w:pPr>
            <w:r>
              <w:fldChar w:fldCharType="begin"/>
            </w:r>
            <w:r>
              <w:instrText xml:space="preserve"> = 1 \* GB3 </w:instrText>
            </w:r>
            <w:r>
              <w:fldChar w:fldCharType="separate"/>
            </w:r>
            <w:r>
              <w:t>①</w:t>
            </w:r>
            <w:r>
              <w:fldChar w:fldCharType="end"/>
            </w:r>
            <w:r>
              <w:t>重点防渗区防渗措施：①危险废物暂存间分为废矿物油（废润滑油、导热油）暂存区和其他危险废物暂存区。废矿物油（废润滑油、导热油）暂存区设置防渗托盘，并设置30cm高围堰，围堰容积约为0.9m³；地面与裙脚采用抗渗混凝土、高密度聚乙烯膜、钠基膨润土防水毯或其他防渗性能等效的材料；地面基础防渗，防渗层为至少1m厚黏层（渗透系数不大于10-7cm/s），或采用至少2mm厚高密度聚乙烯膜等人工防渗材料（渗透系数不大于10-10 cm/s）或其他防渗性能等效的材料。或参照GB18597执行。</w:t>
            </w:r>
          </w:p>
          <w:p>
            <w:pPr>
              <w:pStyle w:val="147"/>
            </w:pPr>
            <w:r>
              <w:t>②柴油储罐罐区设置长4m、宽2.5m、高0.6m，容积6m³（约5.22t）的围堰；沥青储罐区设置长15m、宽4m、高0.7m，容积42m³（约50.4t）的围堰；储罐区地面及围堰并采用耐磨、防腐、防渗的人工涂料进行防渗处置。防渗技术要求：等效黏土防渗层Mb≥6.0m，K≤1×10-7cm/s；或参照GB18597执行；同时储罐区还应做到防浸泡。</w:t>
            </w:r>
          </w:p>
          <w:p>
            <w:pPr>
              <w:pStyle w:val="147"/>
            </w:pPr>
            <w:r>
              <w:fldChar w:fldCharType="begin"/>
            </w:r>
            <w:r>
              <w:instrText xml:space="preserve"> = 2 \* GB3 </w:instrText>
            </w:r>
            <w:r>
              <w:fldChar w:fldCharType="separate"/>
            </w:r>
            <w:r>
              <w:t>②</w:t>
            </w:r>
            <w:r>
              <w:fldChar w:fldCharType="end"/>
            </w:r>
            <w:r>
              <w:t>一般防措施：初期雨水收集池，采用高强度混凝土建设，结构厚度不应小于100mm，混凝土抗渗等级不应低于P6。防渗技术要求：等效黏土防渗层Mb&gt;1.5m，K≤1.0x10-7cm/s；或参照GB16889执行。</w:t>
            </w:r>
          </w:p>
          <w:p>
            <w:pPr>
              <w:pStyle w:val="147"/>
            </w:pPr>
            <w:r>
              <w:fldChar w:fldCharType="begin"/>
            </w:r>
            <w:r>
              <w:instrText xml:space="preserve"> = 3 \* GB3 </w:instrText>
            </w:r>
            <w:r>
              <w:fldChar w:fldCharType="separate"/>
            </w:r>
            <w:r>
              <w:t>③</w:t>
            </w:r>
            <w:r>
              <w:fldChar w:fldCharType="end"/>
            </w:r>
            <w:r>
              <w:t>简单防渗措施：除了重点、一般防渗区以外的区域进行简单硬化处理。采取上述措施后，项目在正常情况下不会对土壤及地下水环境造成污染影响。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46"/>
              <w:rPr>
                <w:b w:val="0"/>
                <w:color w:val="auto"/>
                <w:sz w:val="24"/>
                <w:szCs w:val="24"/>
              </w:rPr>
            </w:pPr>
            <w:r>
              <w:rPr>
                <w:b w:val="0"/>
                <w:color w:val="auto"/>
                <w:sz w:val="24"/>
                <w:szCs w:val="24"/>
              </w:rPr>
              <w:t>生态保护措施</w:t>
            </w:r>
          </w:p>
        </w:tc>
        <w:tc>
          <w:tcPr>
            <w:tcW w:w="7844" w:type="dxa"/>
            <w:gridSpan w:val="4"/>
            <w:vAlign w:val="center"/>
          </w:tcPr>
          <w:p>
            <w:pPr>
              <w:pStyle w:val="139"/>
              <w:ind w:firstLine="48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46"/>
              <w:rPr>
                <w:b w:val="0"/>
                <w:color w:val="auto"/>
                <w:sz w:val="24"/>
                <w:szCs w:val="24"/>
              </w:rPr>
            </w:pPr>
            <w:r>
              <w:rPr>
                <w:b w:val="0"/>
                <w:color w:val="auto"/>
                <w:sz w:val="24"/>
                <w:szCs w:val="24"/>
              </w:rPr>
              <w:t>环境风险防范措施</w:t>
            </w:r>
          </w:p>
        </w:tc>
        <w:tc>
          <w:tcPr>
            <w:tcW w:w="7844" w:type="dxa"/>
            <w:gridSpan w:val="4"/>
            <w:vAlign w:val="center"/>
          </w:tcPr>
          <w:p>
            <w:pPr>
              <w:pStyle w:val="147"/>
            </w:pPr>
            <w:r>
              <w:t>为防止和应对风险事故的发生，采取以下风险防范措施:</w:t>
            </w:r>
          </w:p>
          <w:p>
            <w:pPr>
              <w:pStyle w:val="147"/>
            </w:pPr>
            <w:r>
              <w:t>（1）项目储罐集中在一个生产区域内，储罐区均设置围堰，定期进行检查，检查的重点无有无人为破坏，有无泄漏，做到有问题及时发现，及时处理。地面采取防渗及防腐蚀处理。储罐区内设置“禁止吸烟”和“禁止使用明火”的告示牌。</w:t>
            </w:r>
          </w:p>
          <w:p>
            <w:pPr>
              <w:pStyle w:val="147"/>
            </w:pPr>
            <w:r>
              <w:t>（2）危险废物配备专用容器，按要求设置/张贴暂存间标识及危废标签，危险废物统一收集后分类、分区暂存于危废暂存间内，并委托相关资质的单位定期清运处置。在运输前向当地环保部门提交危废转移申请表，领取危险废物转移联单，在运输过程中严格按要求填写“五联单”，转移完成后将相应联单提交到相关单位，建立台账。危废暂存间必须派专人进行管理，并严格执行危废暂存间的管理制度，降低管理产生的风险。</w:t>
            </w:r>
          </w:p>
          <w:p>
            <w:pPr>
              <w:pStyle w:val="147"/>
            </w:pPr>
            <w:r>
              <w:t>（3）加强员工的责任心和</w:t>
            </w:r>
            <w:r>
              <w:rPr>
                <w:rFonts w:hint="eastAsia"/>
                <w:lang w:eastAsia="zh-CN"/>
              </w:rPr>
              <w:t>主观能动性</w:t>
            </w:r>
            <w:r>
              <w:t>;完善并严格遵守相关的操作规程,加强岗位培训，落实岗位责任制:加强设备管理，对易发生渗漏的部位加检查；建立一套完善的安全管理制度，执行工业安全卫生、劳动保护、环保、消防等相关规定。</w:t>
            </w:r>
          </w:p>
          <w:p>
            <w:pPr>
              <w:pStyle w:val="147"/>
            </w:pPr>
            <w:r>
              <w:t>（4）严格落实危险废物暂存间的巡检制度。定期组织开展与环保、安全、消防等相关的培训教育，提高员工意识，并熟练掌握事故发生时应急措施和正确处理方法。</w:t>
            </w:r>
          </w:p>
          <w:p>
            <w:pPr>
              <w:pStyle w:val="147"/>
            </w:pPr>
            <w:r>
              <w:t>（5）编制突发环境事件应急预案并备案，定期开展突发环境事件应急预案培训与演练，提高突发环境事件应急处置能力。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46"/>
              <w:rPr>
                <w:b w:val="0"/>
                <w:color w:val="auto"/>
                <w:sz w:val="24"/>
                <w:szCs w:val="24"/>
              </w:rPr>
            </w:pPr>
            <w:r>
              <w:rPr>
                <w:b w:val="0"/>
                <w:color w:val="auto"/>
                <w:sz w:val="24"/>
                <w:szCs w:val="24"/>
              </w:rPr>
              <w:t>其他环境管理要求</w:t>
            </w:r>
          </w:p>
        </w:tc>
        <w:tc>
          <w:tcPr>
            <w:tcW w:w="7844" w:type="dxa"/>
            <w:gridSpan w:val="4"/>
            <w:vAlign w:val="center"/>
          </w:tcPr>
          <w:p>
            <w:pPr>
              <w:pStyle w:val="147"/>
            </w:pPr>
            <w:r>
              <w:t>（一）、环境管理计划</w:t>
            </w:r>
          </w:p>
          <w:p>
            <w:pPr>
              <w:pStyle w:val="147"/>
            </w:pPr>
            <w:r>
              <w:t>（1）根据国家环保政策、标准及环境监测要求，制定该项目运行期环境管理规章制度、各种污染物排放指标。</w:t>
            </w:r>
          </w:p>
          <w:p>
            <w:pPr>
              <w:pStyle w:val="147"/>
            </w:pPr>
            <w:r>
              <w:t>（2）项目建成投产前建设单位应自行组织项目竣工环境保护验收工作，检查环保设施是否达到“三同时”要求。</w:t>
            </w:r>
          </w:p>
          <w:p>
            <w:pPr>
              <w:pStyle w:val="147"/>
            </w:pPr>
            <w:r>
              <w:t>（3）加强环保设施的管理，定期检查厂内环保设施运行情况。及时排除故障，保证环保设施正常运转。</w:t>
            </w:r>
          </w:p>
          <w:p>
            <w:pPr>
              <w:pStyle w:val="147"/>
            </w:pPr>
            <w:r>
              <w:t>（4）危险废物的收集管理应由专人负责，分类收集。</w:t>
            </w:r>
          </w:p>
          <w:p>
            <w:pPr>
              <w:pStyle w:val="147"/>
            </w:pPr>
            <w:r>
              <w:t>（5）运用经济、教育、行政、法律及其它手段，加强项目区内人员的环保意识，加强环境保护的自觉性，不断提高环境管理水平。</w:t>
            </w:r>
          </w:p>
          <w:p>
            <w:pPr>
              <w:pStyle w:val="147"/>
            </w:pPr>
            <w:r>
              <w:t>（6）配合当地环保监测机构，实施环境监测计划。</w:t>
            </w:r>
          </w:p>
          <w:p>
            <w:pPr>
              <w:pStyle w:val="147"/>
            </w:pPr>
            <w:r>
              <w:t>（7）项目年运行30天，主要集中在每年五月份和十月份，其余时间不生产，故本项目每次生产应对项目生产设备配套设施进行检查和维护，生产结束后应按要求将剩余原辅材料调配走，并按要求对项目产生的固体废物进行妥善处置，同时做好台账记录。</w:t>
            </w:r>
          </w:p>
          <w:p>
            <w:pPr>
              <w:pStyle w:val="147"/>
            </w:pPr>
            <w:r>
              <w:t>（二）排污口设置的技术要求</w:t>
            </w:r>
          </w:p>
          <w:p>
            <w:pPr>
              <w:pStyle w:val="147"/>
            </w:pPr>
            <w:r>
              <w:t>（1）排污口位置</w:t>
            </w:r>
          </w:p>
          <w:p>
            <w:pPr>
              <w:pStyle w:val="147"/>
            </w:pPr>
            <w:r>
              <w:t>排污口的位置必须合理确定，并按《排污口规范化整治技术要求（试行）》环监（1996）470号文件要求进行规范化管理。</w:t>
            </w:r>
          </w:p>
          <w:p>
            <w:pPr>
              <w:pStyle w:val="147"/>
            </w:pPr>
            <w:r>
              <w:t>（2）排污口监控</w:t>
            </w:r>
          </w:p>
          <w:p>
            <w:pPr>
              <w:pStyle w:val="147"/>
            </w:pPr>
            <w:r>
              <w:t>对主要废气排放口（烟囱、排气筒）、废水排放口实行定期监控，以便及时掌握污染源动态，预防污染事故的发生，同时所有排气筒应设有观测、取样、维修通道，采样孔和采样平台、楼梯等设置，设置应符合《污染源监测技术规范》和《固定源废气监测技术规范》要求。</w:t>
            </w:r>
          </w:p>
          <w:p>
            <w:pPr>
              <w:pStyle w:val="147"/>
            </w:pPr>
            <w:r>
              <w:t>（3）排污口立标</w:t>
            </w:r>
          </w:p>
          <w:p>
            <w:pPr>
              <w:pStyle w:val="147"/>
            </w:pPr>
            <w:r>
              <w:t>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及修改单、《危险废物识别标志设置技术规范》（HJ 1276-2022）中有关规定。</w:t>
            </w:r>
          </w:p>
          <w:p>
            <w:pPr>
              <w:pStyle w:val="147"/>
            </w:pPr>
            <w:r>
              <w:t>（4）排污口管理</w:t>
            </w:r>
          </w:p>
          <w:p>
            <w:pPr>
              <w:pStyle w:val="147"/>
            </w:pPr>
            <w:r>
              <w:t>①根据排污口管理档案内容要求，项目运行期间应将主要污染物种类、数量、浓度、排放去向、达标情况及设施运转情况记录于档案，并向如实向环保管理部门如实申报。</w:t>
            </w:r>
          </w:p>
          <w:p>
            <w:pPr>
              <w:pStyle w:val="147"/>
            </w:pPr>
            <w:r>
              <w:t>②）排污口规范化设置的有关设施属于环境保护设施，建设单位应将其纳入本单位的设备管理中，并选派责任心强、有专业知识和技能的人员对排污口进行管理。</w:t>
            </w:r>
          </w:p>
          <w:p>
            <w:pPr>
              <w:pStyle w:val="147"/>
            </w:pPr>
            <w:r>
              <w:t>（三）排污许可证申请与核发</w:t>
            </w:r>
          </w:p>
          <w:p>
            <w:pPr>
              <w:pStyle w:val="147"/>
            </w:pPr>
            <w:r>
              <w:t>根据《固定污染源排污许可分类管理名录（2019年版）》（生态环境部令第11号，2019年12月20日公布施行），本项目行业类别属于“二十五、非金属矿物制品业30，石墨及其他非金属矿物制品制造309中其他非金属矿物制品制造3099（单晶硅棒，沥青混合物），排污许可管理类别为“简化管理”</w:t>
            </w:r>
          </w:p>
          <w:p>
            <w:pPr>
              <w:pStyle w:val="147"/>
            </w:pPr>
            <w:r>
              <w:t>评价要求项目取得环评批复后，建设单位应按照《排污许可证申请与核发技术规范 总则》（HJ942-2018）、《排污许可证申请与核发技术规范石墨及其他非金属矿物制品制造》（HJ1119-2020）、《排污许可证申请与核发技术规范 工业炉窑》（HJ 1121-2020）、《排污许可证申请与核发技术规范 锅炉》（HJ954-2018）相关要求依法申请排污许可证，做到合法排污。</w:t>
            </w: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tc>
      </w:tr>
    </w:tbl>
    <w:p>
      <w:pPr>
        <w:pStyle w:val="24"/>
        <w:adjustRightInd w:val="0"/>
        <w:snapToGrid w:val="0"/>
        <w:spacing w:before="0" w:beforeAutospacing="0" w:after="0" w:afterAutospacing="0"/>
        <w:jc w:val="center"/>
        <w:outlineLvl w:val="0"/>
        <w:rPr>
          <w:rFonts w:ascii="Times New Roman" w:hAnsi="Times New Roman"/>
          <w:b/>
          <w:bCs/>
          <w:snapToGrid w:val="0"/>
          <w:sz w:val="30"/>
          <w:szCs w:val="30"/>
        </w:rPr>
      </w:pPr>
      <w:r>
        <w:rPr>
          <w:rFonts w:ascii="Times New Roman" w:hAnsi="Times New Roman"/>
          <w:snapToGrid w:val="0"/>
        </w:rPr>
        <w:br w:type="page"/>
      </w:r>
      <w:bookmarkStart w:id="22" w:name="_Toc15808"/>
      <w:bookmarkStart w:id="23" w:name="_Toc1582"/>
      <w:r>
        <w:rPr>
          <w:rFonts w:ascii="Times New Roman" w:hAnsi="Times New Roman"/>
          <w:b/>
          <w:bCs/>
          <w:snapToGrid w:val="0"/>
          <w:sz w:val="30"/>
          <w:szCs w:val="30"/>
        </w:rPr>
        <w:t>六、结论</w:t>
      </w:r>
      <w:bookmarkEnd w:id="22"/>
      <w:bookmarkEnd w:id="23"/>
    </w:p>
    <w:tbl>
      <w:tblPr>
        <w:tblStyle w:val="28"/>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tcPr>
          <w:p>
            <w:pPr>
              <w:pStyle w:val="147"/>
            </w:pPr>
            <w:r>
              <w:t>本项目的建设符合国家、地方产业政策，以及相关规划，不涉及自然保护区、风景名胜区、水源保护区等环境敏感区，与周围居民点、学校、医院等关心点距离较远，选址合理。在采取环评提出的相应环保措施后，项目产生的废气、废水、噪声均可达标排放，固废处置率100%，对当地环境质量及主要关心点环境影响较小，符合达标排放、总量控制和不降低当地环境功能的原则要求，符合国家法律法规要求。</w:t>
            </w:r>
          </w:p>
          <w:p>
            <w:pPr>
              <w:pStyle w:val="147"/>
            </w:pPr>
            <w:r>
              <w:t>本项目在严格执行环境保护“三同时”制度，严格进行环境管理，保证项目内的废气处理设施及其他环保设施的正常运行，污染物达标排放的条件下，从环境保护角度论证，本项目的建设是可行的。</w:t>
            </w: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p>
            <w:pPr>
              <w:pStyle w:val="147"/>
            </w:pPr>
          </w:p>
        </w:tc>
      </w:tr>
    </w:tbl>
    <w:p>
      <w:pPr>
        <w:sectPr>
          <w:pgSz w:w="11906" w:h="16838"/>
          <w:pgMar w:top="1440" w:right="1800" w:bottom="1440" w:left="1800" w:header="851" w:footer="992" w:gutter="0"/>
          <w:cols w:space="425" w:num="1"/>
          <w:docGrid w:type="lines" w:linePitch="312" w:charSpace="0"/>
        </w:sectPr>
      </w:pPr>
    </w:p>
    <w:p>
      <w:pPr>
        <w:pStyle w:val="24"/>
        <w:adjustRightInd w:val="0"/>
        <w:snapToGrid w:val="0"/>
        <w:spacing w:before="0" w:beforeAutospacing="0" w:after="0" w:afterAutospacing="0"/>
        <w:jc w:val="both"/>
        <w:outlineLvl w:val="0"/>
        <w:rPr>
          <w:rFonts w:ascii="Times New Roman" w:hAnsi="Times New Roman"/>
          <w:b/>
          <w:bCs/>
          <w:snapToGrid w:val="0"/>
          <w:sz w:val="30"/>
          <w:szCs w:val="30"/>
        </w:rPr>
      </w:pPr>
      <w:bookmarkStart w:id="24" w:name="_Toc9427"/>
      <w:bookmarkStart w:id="25" w:name="_Toc16382"/>
      <w:bookmarkStart w:id="26" w:name="_Toc6881"/>
      <w:r>
        <w:rPr>
          <w:rFonts w:ascii="Times New Roman" w:hAnsi="Times New Roman"/>
          <w:b/>
          <w:bCs/>
          <w:snapToGrid w:val="0"/>
          <w:sz w:val="30"/>
          <w:szCs w:val="30"/>
        </w:rPr>
        <w:t>附表</w:t>
      </w:r>
      <w:bookmarkEnd w:id="24"/>
      <w:bookmarkEnd w:id="25"/>
      <w:bookmarkEnd w:id="26"/>
    </w:p>
    <w:p>
      <w:pPr>
        <w:pStyle w:val="151"/>
        <w:rPr>
          <w:color w:val="auto"/>
        </w:rPr>
      </w:pPr>
      <w:bookmarkStart w:id="27" w:name="_Toc18631"/>
      <w:bookmarkStart w:id="28" w:name="_Toc29979"/>
      <w:r>
        <w:rPr>
          <w:color w:val="auto"/>
        </w:rPr>
        <w:t>建设项目污染物排放量汇总表</w:t>
      </w:r>
      <w:bookmarkEnd w:id="27"/>
      <w:bookmarkEnd w:id="28"/>
      <w:r>
        <w:rPr>
          <w:color w:val="auto"/>
        </w:rPr>
        <w:t>（单位：t/a）</w:t>
      </w:r>
    </w:p>
    <w:tbl>
      <w:tblPr>
        <w:tblStyle w:val="28"/>
        <w:tblW w:w="137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005"/>
        <w:gridCol w:w="1701"/>
        <w:gridCol w:w="1276"/>
        <w:gridCol w:w="1701"/>
        <w:gridCol w:w="1559"/>
        <w:gridCol w:w="1305"/>
        <w:gridCol w:w="1559"/>
        <w:gridCol w:w="16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tcBorders>
              <w:tl2br w:val="single" w:color="auto" w:sz="4" w:space="0"/>
            </w:tcBorders>
            <w:tcMar>
              <w:left w:w="28" w:type="dxa"/>
              <w:right w:w="28" w:type="dxa"/>
            </w:tcMar>
            <w:vAlign w:val="center"/>
          </w:tcPr>
          <w:p>
            <w:pPr>
              <w:pStyle w:val="146"/>
              <w:rPr>
                <w:b w:val="0"/>
                <w:color w:val="auto"/>
                <w:sz w:val="21"/>
                <w:szCs w:val="21"/>
              </w:rPr>
            </w:pPr>
            <w:r>
              <w:rPr>
                <w:b w:val="0"/>
                <w:color w:val="auto"/>
                <w:sz w:val="21"/>
                <w:szCs w:val="21"/>
              </w:rPr>
              <w:t>项目</w:t>
            </w:r>
          </w:p>
          <w:p>
            <w:pPr>
              <w:pStyle w:val="146"/>
              <w:rPr>
                <w:b w:val="0"/>
                <w:color w:val="auto"/>
                <w:sz w:val="21"/>
                <w:szCs w:val="21"/>
              </w:rPr>
            </w:pPr>
            <w:r>
              <w:rPr>
                <w:b w:val="0"/>
                <w:color w:val="auto"/>
                <w:sz w:val="21"/>
                <w:szCs w:val="21"/>
              </w:rPr>
              <w:t>分类</w:t>
            </w:r>
          </w:p>
        </w:tc>
        <w:tc>
          <w:tcPr>
            <w:tcW w:w="2005" w:type="dxa"/>
            <w:tcMar>
              <w:left w:w="28" w:type="dxa"/>
              <w:right w:w="28" w:type="dxa"/>
            </w:tcMar>
            <w:vAlign w:val="center"/>
          </w:tcPr>
          <w:p>
            <w:pPr>
              <w:pStyle w:val="146"/>
              <w:rPr>
                <w:b w:val="0"/>
                <w:color w:val="auto"/>
                <w:sz w:val="21"/>
                <w:szCs w:val="21"/>
              </w:rPr>
            </w:pPr>
            <w:r>
              <w:rPr>
                <w:b w:val="0"/>
                <w:color w:val="auto"/>
                <w:sz w:val="21"/>
                <w:szCs w:val="21"/>
              </w:rPr>
              <w:t>污染物名称</w:t>
            </w:r>
          </w:p>
        </w:tc>
        <w:tc>
          <w:tcPr>
            <w:tcW w:w="1701" w:type="dxa"/>
            <w:tcMar>
              <w:left w:w="28" w:type="dxa"/>
              <w:right w:w="28" w:type="dxa"/>
            </w:tcMar>
            <w:vAlign w:val="center"/>
          </w:tcPr>
          <w:p>
            <w:pPr>
              <w:pStyle w:val="146"/>
              <w:rPr>
                <w:b w:val="0"/>
                <w:color w:val="auto"/>
                <w:sz w:val="21"/>
                <w:szCs w:val="21"/>
              </w:rPr>
            </w:pPr>
            <w:r>
              <w:rPr>
                <w:b w:val="0"/>
                <w:color w:val="auto"/>
                <w:sz w:val="21"/>
                <w:szCs w:val="21"/>
              </w:rPr>
              <w:t>现有工程排放量（固体废物产生量）</w:t>
            </w:r>
            <w:r>
              <w:rPr>
                <w:b w:val="0"/>
                <w:color w:val="auto"/>
                <w:sz w:val="21"/>
                <w:szCs w:val="21"/>
              </w:rPr>
              <w:fldChar w:fldCharType="begin"/>
            </w:r>
            <w:r>
              <w:rPr>
                <w:b w:val="0"/>
                <w:color w:val="auto"/>
                <w:sz w:val="21"/>
                <w:szCs w:val="21"/>
              </w:rPr>
              <w:instrText xml:space="preserve"> = 1 \* GB3 \* MERGEFORMAT </w:instrText>
            </w:r>
            <w:r>
              <w:rPr>
                <w:b w:val="0"/>
                <w:color w:val="auto"/>
                <w:sz w:val="21"/>
                <w:szCs w:val="21"/>
              </w:rPr>
              <w:fldChar w:fldCharType="separate"/>
            </w:r>
            <w:r>
              <w:rPr>
                <w:rFonts w:hint="eastAsia" w:ascii="宋体" w:hAnsi="宋体" w:cs="宋体"/>
                <w:b w:val="0"/>
                <w:color w:val="auto"/>
                <w:sz w:val="21"/>
                <w:szCs w:val="21"/>
              </w:rPr>
              <w:t>①</w:t>
            </w:r>
            <w:r>
              <w:rPr>
                <w:b w:val="0"/>
                <w:color w:val="auto"/>
                <w:sz w:val="21"/>
                <w:szCs w:val="21"/>
              </w:rPr>
              <w:fldChar w:fldCharType="end"/>
            </w:r>
          </w:p>
        </w:tc>
        <w:tc>
          <w:tcPr>
            <w:tcW w:w="1276" w:type="dxa"/>
            <w:tcMar>
              <w:left w:w="28" w:type="dxa"/>
              <w:right w:w="28" w:type="dxa"/>
            </w:tcMar>
            <w:vAlign w:val="center"/>
          </w:tcPr>
          <w:p>
            <w:pPr>
              <w:pStyle w:val="146"/>
              <w:rPr>
                <w:b w:val="0"/>
                <w:color w:val="auto"/>
                <w:sz w:val="21"/>
                <w:szCs w:val="21"/>
              </w:rPr>
            </w:pPr>
            <w:r>
              <w:rPr>
                <w:b w:val="0"/>
                <w:color w:val="auto"/>
                <w:sz w:val="21"/>
                <w:szCs w:val="21"/>
              </w:rPr>
              <w:t>现有工程许可排放量</w:t>
            </w:r>
            <w:r>
              <w:rPr>
                <w:b w:val="0"/>
                <w:color w:val="auto"/>
                <w:sz w:val="21"/>
                <w:szCs w:val="21"/>
              </w:rPr>
              <w:fldChar w:fldCharType="begin"/>
            </w:r>
            <w:r>
              <w:rPr>
                <w:b w:val="0"/>
                <w:color w:val="auto"/>
                <w:sz w:val="21"/>
                <w:szCs w:val="21"/>
              </w:rPr>
              <w:instrText xml:space="preserve"> = 2 \* GB3 \* MERGEFORMAT </w:instrText>
            </w:r>
            <w:r>
              <w:rPr>
                <w:b w:val="0"/>
                <w:color w:val="auto"/>
                <w:sz w:val="21"/>
                <w:szCs w:val="21"/>
              </w:rPr>
              <w:fldChar w:fldCharType="separate"/>
            </w:r>
            <w:r>
              <w:rPr>
                <w:rFonts w:hint="eastAsia" w:ascii="宋体" w:hAnsi="宋体" w:cs="宋体"/>
                <w:b w:val="0"/>
                <w:color w:val="auto"/>
                <w:sz w:val="21"/>
                <w:szCs w:val="21"/>
              </w:rPr>
              <w:t>②</w:t>
            </w:r>
            <w:r>
              <w:rPr>
                <w:b w:val="0"/>
                <w:color w:val="auto"/>
                <w:sz w:val="21"/>
                <w:szCs w:val="21"/>
              </w:rPr>
              <w:fldChar w:fldCharType="end"/>
            </w:r>
          </w:p>
        </w:tc>
        <w:tc>
          <w:tcPr>
            <w:tcW w:w="1701" w:type="dxa"/>
            <w:tcMar>
              <w:left w:w="28" w:type="dxa"/>
              <w:right w:w="28" w:type="dxa"/>
            </w:tcMar>
            <w:vAlign w:val="center"/>
          </w:tcPr>
          <w:p>
            <w:pPr>
              <w:pStyle w:val="146"/>
              <w:rPr>
                <w:b w:val="0"/>
                <w:color w:val="auto"/>
                <w:sz w:val="21"/>
                <w:szCs w:val="21"/>
              </w:rPr>
            </w:pPr>
            <w:r>
              <w:rPr>
                <w:b w:val="0"/>
                <w:color w:val="auto"/>
                <w:sz w:val="21"/>
                <w:szCs w:val="21"/>
              </w:rPr>
              <w:t>在建工程排放量（固体废物产生量）</w:t>
            </w:r>
            <w:r>
              <w:rPr>
                <w:b w:val="0"/>
                <w:color w:val="auto"/>
                <w:sz w:val="21"/>
                <w:szCs w:val="21"/>
              </w:rPr>
              <w:fldChar w:fldCharType="begin"/>
            </w:r>
            <w:r>
              <w:rPr>
                <w:b w:val="0"/>
                <w:color w:val="auto"/>
                <w:sz w:val="21"/>
                <w:szCs w:val="21"/>
              </w:rPr>
              <w:instrText xml:space="preserve"> = 3 \* GB3 \* MERGEFORMAT </w:instrText>
            </w:r>
            <w:r>
              <w:rPr>
                <w:b w:val="0"/>
                <w:color w:val="auto"/>
                <w:sz w:val="21"/>
                <w:szCs w:val="21"/>
              </w:rPr>
              <w:fldChar w:fldCharType="separate"/>
            </w:r>
            <w:r>
              <w:rPr>
                <w:rFonts w:hint="eastAsia" w:ascii="宋体" w:hAnsi="宋体" w:cs="宋体"/>
                <w:b w:val="0"/>
                <w:color w:val="auto"/>
                <w:sz w:val="21"/>
                <w:szCs w:val="21"/>
              </w:rPr>
              <w:t>③</w:t>
            </w:r>
            <w:r>
              <w:rPr>
                <w:b w:val="0"/>
                <w:color w:val="auto"/>
                <w:sz w:val="21"/>
                <w:szCs w:val="21"/>
              </w:rPr>
              <w:fldChar w:fldCharType="end"/>
            </w:r>
          </w:p>
        </w:tc>
        <w:tc>
          <w:tcPr>
            <w:tcW w:w="1559" w:type="dxa"/>
            <w:tcMar>
              <w:left w:w="28" w:type="dxa"/>
              <w:right w:w="28" w:type="dxa"/>
            </w:tcMar>
            <w:vAlign w:val="center"/>
          </w:tcPr>
          <w:p>
            <w:pPr>
              <w:pStyle w:val="146"/>
              <w:rPr>
                <w:b w:val="0"/>
                <w:color w:val="auto"/>
                <w:sz w:val="21"/>
                <w:szCs w:val="21"/>
              </w:rPr>
            </w:pPr>
            <w:r>
              <w:rPr>
                <w:b w:val="0"/>
                <w:color w:val="auto"/>
                <w:sz w:val="21"/>
                <w:szCs w:val="21"/>
              </w:rPr>
              <w:t>本项目排放量（固体废物产生量）</w:t>
            </w:r>
            <w:r>
              <w:rPr>
                <w:b w:val="0"/>
                <w:color w:val="auto"/>
                <w:sz w:val="21"/>
                <w:szCs w:val="21"/>
              </w:rPr>
              <w:fldChar w:fldCharType="begin"/>
            </w:r>
            <w:r>
              <w:rPr>
                <w:b w:val="0"/>
                <w:color w:val="auto"/>
                <w:sz w:val="21"/>
                <w:szCs w:val="21"/>
              </w:rPr>
              <w:instrText xml:space="preserve"> = 4 \* GB3 \* MERGEFORMAT </w:instrText>
            </w:r>
            <w:r>
              <w:rPr>
                <w:b w:val="0"/>
                <w:color w:val="auto"/>
                <w:sz w:val="21"/>
                <w:szCs w:val="21"/>
              </w:rPr>
              <w:fldChar w:fldCharType="separate"/>
            </w:r>
            <w:r>
              <w:rPr>
                <w:rFonts w:hint="eastAsia" w:ascii="宋体" w:hAnsi="宋体" w:cs="宋体"/>
                <w:b w:val="0"/>
                <w:color w:val="auto"/>
                <w:sz w:val="21"/>
                <w:szCs w:val="21"/>
              </w:rPr>
              <w:t>④</w:t>
            </w:r>
            <w:r>
              <w:rPr>
                <w:b w:val="0"/>
                <w:color w:val="auto"/>
                <w:sz w:val="21"/>
                <w:szCs w:val="21"/>
              </w:rPr>
              <w:fldChar w:fldCharType="end"/>
            </w:r>
          </w:p>
        </w:tc>
        <w:tc>
          <w:tcPr>
            <w:tcW w:w="1305" w:type="dxa"/>
            <w:tcMar>
              <w:left w:w="28" w:type="dxa"/>
              <w:right w:w="28" w:type="dxa"/>
            </w:tcMar>
            <w:vAlign w:val="center"/>
          </w:tcPr>
          <w:p>
            <w:pPr>
              <w:pStyle w:val="146"/>
              <w:rPr>
                <w:b w:val="0"/>
                <w:color w:val="auto"/>
                <w:sz w:val="21"/>
                <w:szCs w:val="21"/>
              </w:rPr>
            </w:pPr>
            <w:r>
              <w:rPr>
                <w:b w:val="0"/>
                <w:color w:val="auto"/>
                <w:sz w:val="21"/>
                <w:szCs w:val="21"/>
              </w:rPr>
              <w:t>以新带老削减量（新建项目不填）</w:t>
            </w:r>
            <w:r>
              <w:rPr>
                <w:b w:val="0"/>
                <w:color w:val="auto"/>
                <w:sz w:val="21"/>
                <w:szCs w:val="21"/>
              </w:rPr>
              <w:fldChar w:fldCharType="begin"/>
            </w:r>
            <w:r>
              <w:rPr>
                <w:b w:val="0"/>
                <w:color w:val="auto"/>
                <w:sz w:val="21"/>
                <w:szCs w:val="21"/>
              </w:rPr>
              <w:instrText xml:space="preserve"> = 5 \* GB3 \* MERGEFORMAT </w:instrText>
            </w:r>
            <w:r>
              <w:rPr>
                <w:b w:val="0"/>
                <w:color w:val="auto"/>
                <w:sz w:val="21"/>
                <w:szCs w:val="21"/>
              </w:rPr>
              <w:fldChar w:fldCharType="separate"/>
            </w:r>
            <w:r>
              <w:rPr>
                <w:rFonts w:hint="eastAsia" w:ascii="宋体" w:hAnsi="宋体" w:cs="宋体"/>
                <w:b w:val="0"/>
                <w:color w:val="auto"/>
                <w:sz w:val="21"/>
                <w:szCs w:val="21"/>
              </w:rPr>
              <w:t>⑤</w:t>
            </w:r>
            <w:r>
              <w:rPr>
                <w:b w:val="0"/>
                <w:color w:val="auto"/>
                <w:sz w:val="21"/>
                <w:szCs w:val="21"/>
              </w:rPr>
              <w:fldChar w:fldCharType="end"/>
            </w:r>
          </w:p>
        </w:tc>
        <w:tc>
          <w:tcPr>
            <w:tcW w:w="1559" w:type="dxa"/>
            <w:tcMar>
              <w:left w:w="28" w:type="dxa"/>
              <w:right w:w="28" w:type="dxa"/>
            </w:tcMar>
            <w:vAlign w:val="center"/>
          </w:tcPr>
          <w:p>
            <w:pPr>
              <w:pStyle w:val="146"/>
              <w:rPr>
                <w:b w:val="0"/>
                <w:color w:val="auto"/>
                <w:sz w:val="21"/>
                <w:szCs w:val="21"/>
              </w:rPr>
            </w:pPr>
            <w:r>
              <w:rPr>
                <w:b w:val="0"/>
                <w:color w:val="auto"/>
                <w:sz w:val="21"/>
                <w:szCs w:val="21"/>
              </w:rPr>
              <w:t>本项目建成后全厂排放量（固体废物产生量）</w:t>
            </w:r>
            <w:r>
              <w:rPr>
                <w:b w:val="0"/>
                <w:color w:val="auto"/>
                <w:sz w:val="21"/>
                <w:szCs w:val="21"/>
              </w:rPr>
              <w:fldChar w:fldCharType="begin"/>
            </w:r>
            <w:r>
              <w:rPr>
                <w:b w:val="0"/>
                <w:color w:val="auto"/>
                <w:sz w:val="21"/>
                <w:szCs w:val="21"/>
              </w:rPr>
              <w:instrText xml:space="preserve"> = 6 \* GB3 \* MERGEFORMAT </w:instrText>
            </w:r>
            <w:r>
              <w:rPr>
                <w:b w:val="0"/>
                <w:color w:val="auto"/>
                <w:sz w:val="21"/>
                <w:szCs w:val="21"/>
              </w:rPr>
              <w:fldChar w:fldCharType="separate"/>
            </w:r>
            <w:r>
              <w:rPr>
                <w:rFonts w:hint="eastAsia" w:ascii="宋体" w:hAnsi="宋体" w:cs="宋体"/>
                <w:b w:val="0"/>
                <w:color w:val="auto"/>
                <w:sz w:val="21"/>
                <w:szCs w:val="21"/>
              </w:rPr>
              <w:t>⑥</w:t>
            </w:r>
            <w:r>
              <w:rPr>
                <w:b w:val="0"/>
                <w:color w:val="auto"/>
                <w:sz w:val="21"/>
                <w:szCs w:val="21"/>
              </w:rPr>
              <w:fldChar w:fldCharType="end"/>
            </w:r>
          </w:p>
        </w:tc>
        <w:tc>
          <w:tcPr>
            <w:tcW w:w="1682" w:type="dxa"/>
            <w:tcMar>
              <w:left w:w="28" w:type="dxa"/>
              <w:right w:w="28" w:type="dxa"/>
            </w:tcMar>
            <w:vAlign w:val="center"/>
          </w:tcPr>
          <w:p>
            <w:pPr>
              <w:pStyle w:val="146"/>
              <w:rPr>
                <w:b w:val="0"/>
                <w:color w:val="auto"/>
                <w:sz w:val="21"/>
                <w:szCs w:val="21"/>
              </w:rPr>
            </w:pPr>
            <w:r>
              <w:rPr>
                <w:b w:val="0"/>
                <w:color w:val="auto"/>
                <w:sz w:val="21"/>
                <w:szCs w:val="21"/>
              </w:rPr>
              <w:t>变化量</w:t>
            </w:r>
          </w:p>
          <w:p>
            <w:pPr>
              <w:pStyle w:val="146"/>
              <w:rPr>
                <w:b w:val="0"/>
                <w:color w:val="auto"/>
                <w:sz w:val="21"/>
                <w:szCs w:val="21"/>
              </w:rPr>
            </w:pPr>
            <w:r>
              <w:rPr>
                <w:b w:val="0"/>
                <w:color w:val="auto"/>
                <w:sz w:val="21"/>
                <w:szCs w:val="21"/>
              </w:rPr>
              <w:fldChar w:fldCharType="begin"/>
            </w:r>
            <w:r>
              <w:rPr>
                <w:b w:val="0"/>
                <w:color w:val="auto"/>
                <w:sz w:val="21"/>
                <w:szCs w:val="21"/>
              </w:rPr>
              <w:instrText xml:space="preserve"> = 7 \* GB3 \* MERGEFORMAT </w:instrText>
            </w:r>
            <w:r>
              <w:rPr>
                <w:b w:val="0"/>
                <w:color w:val="auto"/>
                <w:sz w:val="21"/>
                <w:szCs w:val="21"/>
              </w:rPr>
              <w:fldChar w:fldCharType="separate"/>
            </w:r>
            <w:r>
              <w:rPr>
                <w:rFonts w:hint="eastAsia" w:ascii="宋体" w:hAnsi="宋体" w:cs="宋体"/>
                <w:b w:val="0"/>
                <w:color w:val="auto"/>
                <w:sz w:val="21"/>
                <w:szCs w:val="21"/>
              </w:rPr>
              <w:t>⑦</w:t>
            </w:r>
            <w:r>
              <w:rPr>
                <w:b w:val="0"/>
                <w:color w:val="auto"/>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restart"/>
            <w:vAlign w:val="center"/>
          </w:tcPr>
          <w:p>
            <w:pPr>
              <w:pStyle w:val="146"/>
              <w:rPr>
                <w:b w:val="0"/>
                <w:color w:val="auto"/>
                <w:sz w:val="21"/>
                <w:szCs w:val="21"/>
              </w:rPr>
            </w:pPr>
            <w:r>
              <w:rPr>
                <w:b w:val="0"/>
                <w:color w:val="auto"/>
                <w:sz w:val="21"/>
                <w:szCs w:val="21"/>
              </w:rPr>
              <w:t>废气</w:t>
            </w:r>
          </w:p>
        </w:tc>
        <w:tc>
          <w:tcPr>
            <w:tcW w:w="2005" w:type="dxa"/>
            <w:vAlign w:val="center"/>
          </w:tcPr>
          <w:p>
            <w:pPr>
              <w:pStyle w:val="66"/>
              <w:rPr>
                <w:color w:val="auto"/>
              </w:rPr>
            </w:pPr>
            <w:r>
              <w:rPr>
                <w:color w:val="auto"/>
              </w:rPr>
              <w:t>TSP</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0.010586</w:t>
            </w:r>
          </w:p>
        </w:tc>
        <w:tc>
          <w:tcPr>
            <w:tcW w:w="1305"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0.010586</w:t>
            </w:r>
          </w:p>
        </w:tc>
        <w:tc>
          <w:tcPr>
            <w:tcW w:w="1682" w:type="dxa"/>
            <w:vAlign w:val="center"/>
          </w:tcPr>
          <w:p>
            <w:pPr>
              <w:pStyle w:val="146"/>
              <w:rPr>
                <w:b w:val="0"/>
                <w:color w:val="auto"/>
                <w:sz w:val="21"/>
                <w:szCs w:val="21"/>
              </w:rPr>
            </w:pPr>
            <w:r>
              <w:rPr>
                <w:b w:val="0"/>
                <w:color w:val="auto"/>
                <w:sz w:val="21"/>
                <w:szCs w:val="21"/>
              </w:rPr>
              <w:t>+0.010586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pStyle w:val="66"/>
              <w:rPr>
                <w:color w:val="auto"/>
              </w:rPr>
            </w:pPr>
            <w:r>
              <w:rPr>
                <w:color w:val="auto"/>
              </w:rPr>
              <w:t>二氧化硫</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0.000095</w:t>
            </w:r>
          </w:p>
        </w:tc>
        <w:tc>
          <w:tcPr>
            <w:tcW w:w="1305"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0.000095</w:t>
            </w:r>
          </w:p>
        </w:tc>
        <w:tc>
          <w:tcPr>
            <w:tcW w:w="1682" w:type="dxa"/>
            <w:vAlign w:val="center"/>
          </w:tcPr>
          <w:p>
            <w:pPr>
              <w:pStyle w:val="146"/>
              <w:rPr>
                <w:b w:val="0"/>
                <w:color w:val="auto"/>
                <w:sz w:val="21"/>
                <w:szCs w:val="21"/>
              </w:rPr>
            </w:pPr>
            <w:r>
              <w:rPr>
                <w:b w:val="0"/>
                <w:color w:val="auto"/>
                <w:sz w:val="21"/>
                <w:szCs w:val="21"/>
              </w:rPr>
              <w:t>+0.000095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pStyle w:val="66"/>
              <w:rPr>
                <w:color w:val="auto"/>
              </w:rPr>
            </w:pPr>
            <w:r>
              <w:rPr>
                <w:color w:val="auto"/>
              </w:rPr>
              <w:t>氮氧化物</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0.01835</w:t>
            </w:r>
          </w:p>
        </w:tc>
        <w:tc>
          <w:tcPr>
            <w:tcW w:w="1305"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0.01835</w:t>
            </w:r>
          </w:p>
        </w:tc>
        <w:tc>
          <w:tcPr>
            <w:tcW w:w="1682" w:type="dxa"/>
            <w:vAlign w:val="center"/>
          </w:tcPr>
          <w:p>
            <w:pPr>
              <w:pStyle w:val="146"/>
              <w:rPr>
                <w:b w:val="0"/>
                <w:color w:val="auto"/>
                <w:sz w:val="21"/>
                <w:szCs w:val="21"/>
              </w:rPr>
            </w:pPr>
            <w:r>
              <w:rPr>
                <w:b w:val="0"/>
                <w:color w:val="auto"/>
                <w:sz w:val="21"/>
                <w:szCs w:val="21"/>
              </w:rPr>
              <w:t>+0.01835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pStyle w:val="66"/>
              <w:rPr>
                <w:color w:val="auto"/>
              </w:rPr>
            </w:pPr>
            <w:r>
              <w:rPr>
                <w:color w:val="auto"/>
              </w:rPr>
              <w:t>非甲烷总烃</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jc w:val="center"/>
              <w:rPr>
                <w:szCs w:val="21"/>
              </w:rPr>
            </w:pPr>
            <w:r>
              <w:rPr>
                <w:szCs w:val="21"/>
              </w:rPr>
              <w:t>/</w:t>
            </w:r>
          </w:p>
        </w:tc>
        <w:tc>
          <w:tcPr>
            <w:tcW w:w="1701" w:type="dxa"/>
            <w:vAlign w:val="center"/>
          </w:tcPr>
          <w:p>
            <w:pPr>
              <w:jc w:val="center"/>
              <w:rPr>
                <w:szCs w:val="21"/>
              </w:rPr>
            </w:pPr>
            <w:r>
              <w:rPr>
                <w:szCs w:val="21"/>
              </w:rPr>
              <w:t>/</w:t>
            </w:r>
          </w:p>
        </w:tc>
        <w:tc>
          <w:tcPr>
            <w:tcW w:w="1559" w:type="dxa"/>
            <w:vAlign w:val="center"/>
          </w:tcPr>
          <w:p>
            <w:pPr>
              <w:pStyle w:val="146"/>
              <w:rPr>
                <w:b w:val="0"/>
                <w:color w:val="auto"/>
                <w:sz w:val="21"/>
                <w:szCs w:val="21"/>
              </w:rPr>
            </w:pPr>
            <w:r>
              <w:rPr>
                <w:b w:val="0"/>
                <w:color w:val="auto"/>
                <w:sz w:val="21"/>
                <w:szCs w:val="21"/>
              </w:rPr>
              <w:t>0.0587</w:t>
            </w:r>
          </w:p>
        </w:tc>
        <w:tc>
          <w:tcPr>
            <w:tcW w:w="1305" w:type="dxa"/>
            <w:vAlign w:val="center"/>
          </w:tcPr>
          <w:p>
            <w:pPr>
              <w:jc w:val="center"/>
              <w:rPr>
                <w:szCs w:val="21"/>
              </w:rPr>
            </w:pPr>
            <w:r>
              <w:rPr>
                <w:szCs w:val="21"/>
              </w:rPr>
              <w:t>/</w:t>
            </w:r>
          </w:p>
        </w:tc>
        <w:tc>
          <w:tcPr>
            <w:tcW w:w="1559" w:type="dxa"/>
            <w:vAlign w:val="center"/>
          </w:tcPr>
          <w:p>
            <w:pPr>
              <w:pStyle w:val="146"/>
              <w:rPr>
                <w:b w:val="0"/>
                <w:color w:val="auto"/>
                <w:sz w:val="21"/>
                <w:szCs w:val="21"/>
              </w:rPr>
            </w:pPr>
            <w:r>
              <w:rPr>
                <w:b w:val="0"/>
                <w:color w:val="auto"/>
                <w:sz w:val="21"/>
                <w:szCs w:val="21"/>
              </w:rPr>
              <w:t>0.0587</w:t>
            </w:r>
          </w:p>
        </w:tc>
        <w:tc>
          <w:tcPr>
            <w:tcW w:w="1682" w:type="dxa"/>
            <w:vAlign w:val="center"/>
          </w:tcPr>
          <w:p>
            <w:pPr>
              <w:pStyle w:val="146"/>
              <w:rPr>
                <w:b w:val="0"/>
                <w:color w:val="auto"/>
                <w:sz w:val="21"/>
                <w:szCs w:val="21"/>
              </w:rPr>
            </w:pPr>
            <w:r>
              <w:rPr>
                <w:b w:val="0"/>
                <w:color w:val="auto"/>
                <w:sz w:val="21"/>
                <w:szCs w:val="21"/>
              </w:rPr>
              <w:t>+0.0587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pStyle w:val="66"/>
              <w:rPr>
                <w:color w:val="auto"/>
              </w:rPr>
            </w:pPr>
            <w:r>
              <w:rPr>
                <w:color w:val="auto"/>
              </w:rPr>
              <w:t>沥青烟</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jc w:val="center"/>
              <w:rPr>
                <w:szCs w:val="21"/>
              </w:rPr>
            </w:pPr>
            <w:r>
              <w:rPr>
                <w:szCs w:val="21"/>
              </w:rPr>
              <w:t>/</w:t>
            </w:r>
          </w:p>
        </w:tc>
        <w:tc>
          <w:tcPr>
            <w:tcW w:w="1701" w:type="dxa"/>
            <w:vAlign w:val="center"/>
          </w:tcPr>
          <w:p>
            <w:pPr>
              <w:jc w:val="center"/>
              <w:rPr>
                <w:szCs w:val="21"/>
              </w:rPr>
            </w:pPr>
            <w:r>
              <w:rPr>
                <w:szCs w:val="21"/>
              </w:rPr>
              <w:t>/</w:t>
            </w:r>
          </w:p>
        </w:tc>
        <w:tc>
          <w:tcPr>
            <w:tcW w:w="1559" w:type="dxa"/>
            <w:vAlign w:val="center"/>
          </w:tcPr>
          <w:p>
            <w:pPr>
              <w:pStyle w:val="146"/>
              <w:rPr>
                <w:b w:val="0"/>
                <w:color w:val="auto"/>
                <w:sz w:val="21"/>
                <w:szCs w:val="21"/>
                <w:vertAlign w:val="superscript"/>
              </w:rPr>
            </w:pPr>
            <w:r>
              <w:rPr>
                <w:b w:val="0"/>
                <w:color w:val="auto"/>
                <w:sz w:val="21"/>
                <w:szCs w:val="21"/>
              </w:rPr>
              <w:t>0.00559</w:t>
            </w:r>
          </w:p>
        </w:tc>
        <w:tc>
          <w:tcPr>
            <w:tcW w:w="1305" w:type="dxa"/>
            <w:vAlign w:val="center"/>
          </w:tcPr>
          <w:p>
            <w:pPr>
              <w:jc w:val="center"/>
              <w:rPr>
                <w:szCs w:val="21"/>
              </w:rPr>
            </w:pPr>
            <w:r>
              <w:rPr>
                <w:szCs w:val="21"/>
              </w:rPr>
              <w:t>/</w:t>
            </w:r>
          </w:p>
        </w:tc>
        <w:tc>
          <w:tcPr>
            <w:tcW w:w="1559" w:type="dxa"/>
            <w:vAlign w:val="center"/>
          </w:tcPr>
          <w:p>
            <w:pPr>
              <w:pStyle w:val="146"/>
              <w:rPr>
                <w:b w:val="0"/>
                <w:color w:val="auto"/>
                <w:sz w:val="21"/>
                <w:szCs w:val="21"/>
                <w:vertAlign w:val="superscript"/>
              </w:rPr>
            </w:pPr>
            <w:r>
              <w:rPr>
                <w:b w:val="0"/>
                <w:color w:val="auto"/>
                <w:sz w:val="21"/>
                <w:szCs w:val="21"/>
              </w:rPr>
              <w:t>0.00559</w:t>
            </w:r>
          </w:p>
        </w:tc>
        <w:tc>
          <w:tcPr>
            <w:tcW w:w="1682" w:type="dxa"/>
            <w:vAlign w:val="center"/>
          </w:tcPr>
          <w:p>
            <w:pPr>
              <w:pStyle w:val="146"/>
              <w:rPr>
                <w:b w:val="0"/>
                <w:color w:val="auto"/>
                <w:sz w:val="21"/>
                <w:szCs w:val="21"/>
                <w:vertAlign w:val="superscript"/>
              </w:rPr>
            </w:pPr>
            <w:r>
              <w:rPr>
                <w:b w:val="0"/>
                <w:color w:val="auto"/>
                <w:sz w:val="21"/>
                <w:szCs w:val="21"/>
              </w:rPr>
              <w:t>+0.00559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pStyle w:val="66"/>
              <w:rPr>
                <w:color w:val="auto"/>
              </w:rPr>
            </w:pPr>
            <w:r>
              <w:rPr>
                <w:color w:val="auto"/>
              </w:rPr>
              <w:t>苯并[a]芘</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jc w:val="center"/>
              <w:rPr>
                <w:szCs w:val="21"/>
              </w:rPr>
            </w:pPr>
            <w:r>
              <w:rPr>
                <w:szCs w:val="21"/>
              </w:rPr>
              <w:t>/</w:t>
            </w:r>
          </w:p>
        </w:tc>
        <w:tc>
          <w:tcPr>
            <w:tcW w:w="1701" w:type="dxa"/>
            <w:vAlign w:val="center"/>
          </w:tcPr>
          <w:p>
            <w:pPr>
              <w:jc w:val="center"/>
              <w:rPr>
                <w:szCs w:val="21"/>
              </w:rPr>
            </w:pPr>
            <w:r>
              <w:rPr>
                <w:szCs w:val="21"/>
              </w:rPr>
              <w:t>/</w:t>
            </w:r>
          </w:p>
        </w:tc>
        <w:tc>
          <w:tcPr>
            <w:tcW w:w="1559" w:type="dxa"/>
            <w:vAlign w:val="center"/>
          </w:tcPr>
          <w:p>
            <w:pPr>
              <w:pStyle w:val="146"/>
              <w:rPr>
                <w:b w:val="0"/>
                <w:color w:val="auto"/>
                <w:sz w:val="21"/>
                <w:szCs w:val="21"/>
                <w:vertAlign w:val="superscript"/>
              </w:rPr>
            </w:pPr>
            <w:r>
              <w:rPr>
                <w:b w:val="0"/>
                <w:color w:val="auto"/>
                <w:sz w:val="21"/>
                <w:szCs w:val="21"/>
              </w:rPr>
              <w:t>0.001452</w:t>
            </w:r>
          </w:p>
        </w:tc>
        <w:tc>
          <w:tcPr>
            <w:tcW w:w="1305" w:type="dxa"/>
            <w:vAlign w:val="center"/>
          </w:tcPr>
          <w:p>
            <w:pPr>
              <w:jc w:val="center"/>
              <w:rPr>
                <w:szCs w:val="21"/>
              </w:rPr>
            </w:pPr>
            <w:r>
              <w:rPr>
                <w:szCs w:val="21"/>
              </w:rPr>
              <w:t>/</w:t>
            </w:r>
          </w:p>
        </w:tc>
        <w:tc>
          <w:tcPr>
            <w:tcW w:w="1559" w:type="dxa"/>
            <w:vAlign w:val="center"/>
          </w:tcPr>
          <w:p>
            <w:pPr>
              <w:pStyle w:val="146"/>
              <w:rPr>
                <w:b w:val="0"/>
                <w:color w:val="auto"/>
                <w:sz w:val="21"/>
                <w:szCs w:val="21"/>
                <w:vertAlign w:val="superscript"/>
              </w:rPr>
            </w:pPr>
            <w:r>
              <w:rPr>
                <w:b w:val="0"/>
                <w:color w:val="auto"/>
                <w:sz w:val="21"/>
                <w:szCs w:val="21"/>
              </w:rPr>
              <w:t>0.001452</w:t>
            </w:r>
          </w:p>
        </w:tc>
        <w:tc>
          <w:tcPr>
            <w:tcW w:w="1682" w:type="dxa"/>
            <w:vAlign w:val="center"/>
          </w:tcPr>
          <w:p>
            <w:pPr>
              <w:pStyle w:val="146"/>
              <w:rPr>
                <w:b w:val="0"/>
                <w:color w:val="auto"/>
                <w:sz w:val="21"/>
                <w:szCs w:val="21"/>
                <w:vertAlign w:val="superscript"/>
              </w:rPr>
            </w:pPr>
            <w:r>
              <w:rPr>
                <w:b w:val="0"/>
                <w:color w:val="auto"/>
                <w:sz w:val="21"/>
                <w:szCs w:val="21"/>
              </w:rPr>
              <w:t>+0.001452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restart"/>
            <w:vAlign w:val="center"/>
          </w:tcPr>
          <w:p>
            <w:pPr>
              <w:pStyle w:val="146"/>
              <w:rPr>
                <w:b w:val="0"/>
                <w:color w:val="auto"/>
                <w:sz w:val="21"/>
                <w:szCs w:val="21"/>
              </w:rPr>
            </w:pPr>
            <w:r>
              <w:rPr>
                <w:b w:val="0"/>
                <w:color w:val="auto"/>
                <w:sz w:val="21"/>
                <w:szCs w:val="21"/>
              </w:rPr>
              <w:t>一般固体废物</w:t>
            </w:r>
          </w:p>
        </w:tc>
        <w:tc>
          <w:tcPr>
            <w:tcW w:w="2005" w:type="dxa"/>
            <w:vAlign w:val="center"/>
          </w:tcPr>
          <w:p>
            <w:pPr>
              <w:jc w:val="center"/>
              <w:rPr>
                <w:szCs w:val="21"/>
              </w:rPr>
            </w:pPr>
            <w:r>
              <w:rPr>
                <w:szCs w:val="21"/>
              </w:rPr>
              <w:t>除尘器收集粉尘</w:t>
            </w:r>
          </w:p>
        </w:tc>
        <w:tc>
          <w:tcPr>
            <w:tcW w:w="1701" w:type="dxa"/>
            <w:vAlign w:val="center"/>
          </w:tcPr>
          <w:p>
            <w:pPr>
              <w:pStyle w:val="146"/>
              <w:rPr>
                <w:b w:val="0"/>
                <w:color w:val="auto"/>
                <w:kern w:val="0"/>
                <w:sz w:val="21"/>
                <w:szCs w:val="21"/>
                <w:lang w:bidi="ar"/>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0.3747</w:t>
            </w:r>
          </w:p>
        </w:tc>
        <w:tc>
          <w:tcPr>
            <w:tcW w:w="1305"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0.3747</w:t>
            </w:r>
          </w:p>
        </w:tc>
        <w:tc>
          <w:tcPr>
            <w:tcW w:w="1682" w:type="dxa"/>
            <w:vAlign w:val="center"/>
          </w:tcPr>
          <w:p>
            <w:pPr>
              <w:pStyle w:val="146"/>
              <w:rPr>
                <w:b w:val="0"/>
                <w:color w:val="auto"/>
                <w:sz w:val="21"/>
                <w:szCs w:val="21"/>
              </w:rPr>
            </w:pPr>
            <w:r>
              <w:rPr>
                <w:b w:val="0"/>
                <w:color w:val="auto"/>
                <w:sz w:val="21"/>
                <w:szCs w:val="21"/>
              </w:rPr>
              <w:t>+0.3747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jc w:val="center"/>
              <w:rPr>
                <w:szCs w:val="21"/>
              </w:rPr>
            </w:pPr>
            <w:r>
              <w:rPr>
                <w:szCs w:val="21"/>
              </w:rPr>
              <w:t>滴漏沥青及拌合残渣</w:t>
            </w:r>
          </w:p>
        </w:tc>
        <w:tc>
          <w:tcPr>
            <w:tcW w:w="1701" w:type="dxa"/>
            <w:vAlign w:val="center"/>
          </w:tcPr>
          <w:p>
            <w:pPr>
              <w:pStyle w:val="146"/>
              <w:rPr>
                <w:b w:val="0"/>
                <w:color w:val="auto"/>
                <w:kern w:val="0"/>
                <w:sz w:val="21"/>
                <w:szCs w:val="21"/>
                <w:lang w:bidi="ar"/>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0.2</w:t>
            </w:r>
          </w:p>
        </w:tc>
        <w:tc>
          <w:tcPr>
            <w:tcW w:w="1305"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0.2</w:t>
            </w:r>
          </w:p>
        </w:tc>
        <w:tc>
          <w:tcPr>
            <w:tcW w:w="1682" w:type="dxa"/>
            <w:vAlign w:val="center"/>
          </w:tcPr>
          <w:p>
            <w:pPr>
              <w:pStyle w:val="146"/>
              <w:rPr>
                <w:b w:val="0"/>
                <w:color w:val="auto"/>
                <w:sz w:val="21"/>
                <w:szCs w:val="21"/>
              </w:rPr>
            </w:pPr>
            <w:r>
              <w:rPr>
                <w:b w:val="0"/>
                <w:color w:val="auto"/>
                <w:sz w:val="21"/>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restart"/>
            <w:vAlign w:val="center"/>
          </w:tcPr>
          <w:p>
            <w:pPr>
              <w:pStyle w:val="146"/>
              <w:rPr>
                <w:b w:val="0"/>
                <w:color w:val="auto"/>
                <w:sz w:val="21"/>
                <w:szCs w:val="21"/>
              </w:rPr>
            </w:pPr>
            <w:r>
              <w:rPr>
                <w:b w:val="0"/>
                <w:color w:val="auto"/>
                <w:sz w:val="21"/>
                <w:szCs w:val="21"/>
              </w:rPr>
              <w:t>危险废物</w:t>
            </w:r>
          </w:p>
        </w:tc>
        <w:tc>
          <w:tcPr>
            <w:tcW w:w="2005" w:type="dxa"/>
            <w:vAlign w:val="center"/>
          </w:tcPr>
          <w:p>
            <w:pPr>
              <w:jc w:val="center"/>
              <w:rPr>
                <w:szCs w:val="21"/>
              </w:rPr>
            </w:pPr>
            <w:r>
              <w:rPr>
                <w:szCs w:val="21"/>
              </w:rPr>
              <w:t>废导热油</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2.9</w:t>
            </w:r>
          </w:p>
        </w:tc>
        <w:tc>
          <w:tcPr>
            <w:tcW w:w="1305"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2.9</w:t>
            </w:r>
          </w:p>
        </w:tc>
        <w:tc>
          <w:tcPr>
            <w:tcW w:w="1682" w:type="dxa"/>
            <w:vAlign w:val="center"/>
          </w:tcPr>
          <w:p>
            <w:pPr>
              <w:pStyle w:val="146"/>
              <w:rPr>
                <w:b w:val="0"/>
                <w:color w:val="auto"/>
                <w:sz w:val="21"/>
                <w:szCs w:val="21"/>
              </w:rPr>
            </w:pPr>
            <w:r>
              <w:rPr>
                <w:b w:val="0"/>
                <w:color w:val="auto"/>
                <w:sz w:val="21"/>
                <w:szCs w:val="21"/>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jc w:val="center"/>
              <w:rPr>
                <w:szCs w:val="21"/>
              </w:rPr>
            </w:pPr>
            <w:r>
              <w:rPr>
                <w:szCs w:val="21"/>
              </w:rPr>
              <w:t>废润滑油</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0.02</w:t>
            </w:r>
          </w:p>
        </w:tc>
        <w:tc>
          <w:tcPr>
            <w:tcW w:w="1305"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0.02</w:t>
            </w:r>
          </w:p>
        </w:tc>
        <w:tc>
          <w:tcPr>
            <w:tcW w:w="1682" w:type="dxa"/>
            <w:vAlign w:val="center"/>
          </w:tcPr>
          <w:p>
            <w:pPr>
              <w:pStyle w:val="146"/>
              <w:rPr>
                <w:b w:val="0"/>
                <w:color w:val="auto"/>
                <w:sz w:val="21"/>
                <w:szCs w:val="21"/>
              </w:rPr>
            </w:pPr>
            <w:r>
              <w:rPr>
                <w:b w:val="0"/>
                <w:color w:val="auto"/>
                <w:sz w:val="21"/>
                <w:szCs w:val="21"/>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jc w:val="center"/>
              <w:rPr>
                <w:szCs w:val="21"/>
              </w:rPr>
            </w:pPr>
            <w:r>
              <w:rPr>
                <w:szCs w:val="21"/>
              </w:rPr>
              <w:t>废活性炭</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0.27068</w:t>
            </w:r>
          </w:p>
        </w:tc>
        <w:tc>
          <w:tcPr>
            <w:tcW w:w="1305"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0.27068</w:t>
            </w:r>
          </w:p>
        </w:tc>
        <w:tc>
          <w:tcPr>
            <w:tcW w:w="1682" w:type="dxa"/>
            <w:vAlign w:val="center"/>
          </w:tcPr>
          <w:p>
            <w:pPr>
              <w:pStyle w:val="146"/>
              <w:rPr>
                <w:b w:val="0"/>
                <w:color w:val="auto"/>
                <w:sz w:val="21"/>
                <w:szCs w:val="21"/>
              </w:rPr>
            </w:pPr>
            <w:r>
              <w:rPr>
                <w:b w:val="0"/>
                <w:color w:val="auto"/>
                <w:sz w:val="21"/>
                <w:szCs w:val="21"/>
              </w:rPr>
              <w:t>+0.27068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Merge w:val="continue"/>
            <w:vAlign w:val="center"/>
          </w:tcPr>
          <w:p>
            <w:pPr>
              <w:pStyle w:val="146"/>
              <w:rPr>
                <w:b w:val="0"/>
                <w:color w:val="auto"/>
                <w:sz w:val="21"/>
                <w:szCs w:val="21"/>
              </w:rPr>
            </w:pPr>
          </w:p>
        </w:tc>
        <w:tc>
          <w:tcPr>
            <w:tcW w:w="2005" w:type="dxa"/>
            <w:vAlign w:val="center"/>
          </w:tcPr>
          <w:p>
            <w:pPr>
              <w:jc w:val="center"/>
              <w:rPr>
                <w:szCs w:val="21"/>
              </w:rPr>
            </w:pPr>
            <w:r>
              <w:rPr>
                <w:szCs w:val="21"/>
              </w:rPr>
              <w:t>废弃的含油抹布、劳保用品</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0.02</w:t>
            </w:r>
          </w:p>
        </w:tc>
        <w:tc>
          <w:tcPr>
            <w:tcW w:w="1305" w:type="dxa"/>
            <w:vAlign w:val="center"/>
          </w:tcPr>
          <w:p>
            <w:pPr>
              <w:pStyle w:val="146"/>
              <w:rPr>
                <w:b w:val="0"/>
                <w:color w:val="auto"/>
                <w:sz w:val="21"/>
                <w:szCs w:val="21"/>
              </w:rPr>
            </w:pPr>
          </w:p>
        </w:tc>
        <w:tc>
          <w:tcPr>
            <w:tcW w:w="1559" w:type="dxa"/>
            <w:vAlign w:val="center"/>
          </w:tcPr>
          <w:p>
            <w:pPr>
              <w:pStyle w:val="146"/>
              <w:rPr>
                <w:b w:val="0"/>
                <w:color w:val="auto"/>
                <w:sz w:val="21"/>
                <w:szCs w:val="21"/>
              </w:rPr>
            </w:pPr>
            <w:r>
              <w:rPr>
                <w:b w:val="0"/>
                <w:color w:val="auto"/>
                <w:sz w:val="21"/>
                <w:szCs w:val="21"/>
              </w:rPr>
              <w:t>0.02</w:t>
            </w:r>
          </w:p>
        </w:tc>
        <w:tc>
          <w:tcPr>
            <w:tcW w:w="1682" w:type="dxa"/>
            <w:vAlign w:val="center"/>
          </w:tcPr>
          <w:p>
            <w:pPr>
              <w:pStyle w:val="146"/>
              <w:rPr>
                <w:b w:val="0"/>
                <w:color w:val="auto"/>
                <w:sz w:val="21"/>
                <w:szCs w:val="21"/>
              </w:rPr>
            </w:pPr>
            <w:r>
              <w:rPr>
                <w:b w:val="0"/>
                <w:color w:val="auto"/>
                <w:sz w:val="21"/>
                <w:szCs w:val="21"/>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pStyle w:val="146"/>
              <w:rPr>
                <w:rFonts w:hint="eastAsia" w:eastAsia="宋体"/>
                <w:b w:val="0"/>
                <w:color w:val="auto"/>
                <w:sz w:val="21"/>
                <w:szCs w:val="21"/>
                <w:lang w:eastAsia="zh-CN"/>
              </w:rPr>
            </w:pPr>
            <w:r>
              <w:rPr>
                <w:b w:val="0"/>
                <w:color w:val="auto"/>
                <w:sz w:val="21"/>
                <w:szCs w:val="21"/>
              </w:rPr>
              <w:t>生活</w:t>
            </w:r>
            <w:r>
              <w:rPr>
                <w:rFonts w:hint="eastAsia"/>
                <w:b w:val="0"/>
                <w:color w:val="auto"/>
                <w:sz w:val="21"/>
                <w:szCs w:val="21"/>
                <w:lang w:eastAsia="zh-CN"/>
              </w:rPr>
              <w:t>垃圾</w:t>
            </w:r>
          </w:p>
        </w:tc>
        <w:tc>
          <w:tcPr>
            <w:tcW w:w="2005" w:type="dxa"/>
            <w:vAlign w:val="center"/>
          </w:tcPr>
          <w:p>
            <w:pPr>
              <w:jc w:val="center"/>
              <w:rPr>
                <w:szCs w:val="21"/>
              </w:rPr>
            </w:pPr>
            <w:r>
              <w:rPr>
                <w:szCs w:val="21"/>
              </w:rPr>
              <w:t>生活垃圾</w:t>
            </w:r>
          </w:p>
        </w:tc>
        <w:tc>
          <w:tcPr>
            <w:tcW w:w="1701" w:type="dxa"/>
            <w:vAlign w:val="center"/>
          </w:tcPr>
          <w:p>
            <w:pPr>
              <w:pStyle w:val="146"/>
              <w:rPr>
                <w:b w:val="0"/>
                <w:color w:val="auto"/>
                <w:sz w:val="21"/>
                <w:szCs w:val="21"/>
              </w:rPr>
            </w:pPr>
            <w:r>
              <w:rPr>
                <w:b w:val="0"/>
                <w:color w:val="auto"/>
                <w:sz w:val="21"/>
                <w:szCs w:val="21"/>
              </w:rPr>
              <w:t>/</w:t>
            </w:r>
          </w:p>
        </w:tc>
        <w:tc>
          <w:tcPr>
            <w:tcW w:w="1276" w:type="dxa"/>
            <w:vAlign w:val="center"/>
          </w:tcPr>
          <w:p>
            <w:pPr>
              <w:pStyle w:val="146"/>
              <w:rPr>
                <w:b w:val="0"/>
                <w:color w:val="auto"/>
                <w:sz w:val="21"/>
                <w:szCs w:val="21"/>
              </w:rPr>
            </w:pPr>
            <w:r>
              <w:rPr>
                <w:b w:val="0"/>
                <w:color w:val="auto"/>
                <w:sz w:val="21"/>
                <w:szCs w:val="21"/>
              </w:rPr>
              <w:t>/</w:t>
            </w:r>
          </w:p>
        </w:tc>
        <w:tc>
          <w:tcPr>
            <w:tcW w:w="1701" w:type="dxa"/>
            <w:vAlign w:val="center"/>
          </w:tcPr>
          <w:p>
            <w:pPr>
              <w:pStyle w:val="146"/>
              <w:rPr>
                <w:b w:val="0"/>
                <w:color w:val="auto"/>
                <w:sz w:val="21"/>
                <w:szCs w:val="21"/>
              </w:rPr>
            </w:pPr>
            <w:r>
              <w:rPr>
                <w:b w:val="0"/>
                <w:color w:val="auto"/>
                <w:sz w:val="21"/>
                <w:szCs w:val="21"/>
              </w:rPr>
              <w:t>/</w:t>
            </w:r>
          </w:p>
        </w:tc>
        <w:tc>
          <w:tcPr>
            <w:tcW w:w="1559" w:type="dxa"/>
            <w:vAlign w:val="center"/>
          </w:tcPr>
          <w:p>
            <w:pPr>
              <w:pStyle w:val="146"/>
              <w:rPr>
                <w:b w:val="0"/>
                <w:color w:val="auto"/>
                <w:sz w:val="21"/>
                <w:szCs w:val="21"/>
              </w:rPr>
            </w:pPr>
            <w:r>
              <w:rPr>
                <w:b w:val="0"/>
                <w:color w:val="auto"/>
                <w:sz w:val="21"/>
                <w:szCs w:val="21"/>
              </w:rPr>
              <w:t>0.075</w:t>
            </w:r>
          </w:p>
        </w:tc>
        <w:tc>
          <w:tcPr>
            <w:tcW w:w="1305" w:type="dxa"/>
            <w:vAlign w:val="center"/>
          </w:tcPr>
          <w:p>
            <w:pPr>
              <w:pStyle w:val="146"/>
              <w:rPr>
                <w:b w:val="0"/>
                <w:color w:val="auto"/>
                <w:sz w:val="21"/>
                <w:szCs w:val="21"/>
              </w:rPr>
            </w:pPr>
          </w:p>
        </w:tc>
        <w:tc>
          <w:tcPr>
            <w:tcW w:w="1559" w:type="dxa"/>
            <w:vAlign w:val="center"/>
          </w:tcPr>
          <w:p>
            <w:pPr>
              <w:pStyle w:val="146"/>
              <w:rPr>
                <w:b w:val="0"/>
                <w:color w:val="auto"/>
                <w:sz w:val="21"/>
                <w:szCs w:val="21"/>
              </w:rPr>
            </w:pPr>
            <w:r>
              <w:rPr>
                <w:b w:val="0"/>
                <w:color w:val="auto"/>
                <w:sz w:val="21"/>
                <w:szCs w:val="21"/>
              </w:rPr>
              <w:t>0.075</w:t>
            </w:r>
          </w:p>
        </w:tc>
        <w:tc>
          <w:tcPr>
            <w:tcW w:w="1682" w:type="dxa"/>
            <w:vAlign w:val="center"/>
          </w:tcPr>
          <w:p>
            <w:pPr>
              <w:pStyle w:val="146"/>
              <w:rPr>
                <w:b w:val="0"/>
                <w:color w:val="auto"/>
                <w:sz w:val="21"/>
                <w:szCs w:val="21"/>
              </w:rPr>
            </w:pPr>
            <w:r>
              <w:rPr>
                <w:b w:val="0"/>
                <w:color w:val="auto"/>
                <w:sz w:val="21"/>
                <w:szCs w:val="21"/>
              </w:rPr>
              <w:t>+0.075</w:t>
            </w:r>
          </w:p>
        </w:tc>
      </w:tr>
    </w:tbl>
    <w:p>
      <w:pPr>
        <w:pStyle w:val="122"/>
        <w:rPr>
          <w:lang w:val="en-US"/>
        </w:rPr>
      </w:pPr>
      <w:r>
        <w:rPr>
          <w:snapToGrid w:val="0"/>
        </w:rPr>
        <w:t>注</w:t>
      </w:r>
      <w:r>
        <w:rPr>
          <w:snapToGrid w:val="0"/>
          <w:lang w:val="en-US"/>
        </w:rPr>
        <w:t>：</w:t>
      </w:r>
      <w:r>
        <w:rPr>
          <w:snapToGrid w:val="0"/>
          <w:spacing w:val="-16"/>
        </w:rPr>
        <w:fldChar w:fldCharType="begin"/>
      </w:r>
      <w:r>
        <w:rPr>
          <w:snapToGrid w:val="0"/>
          <w:spacing w:val="-16"/>
          <w:lang w:val="en-US"/>
        </w:rPr>
        <w:instrText xml:space="preserve"> = 6 \* GB3 \* MERGEFORMAT </w:instrText>
      </w:r>
      <w:r>
        <w:rPr>
          <w:snapToGrid w:val="0"/>
          <w:spacing w:val="-16"/>
        </w:rPr>
        <w:fldChar w:fldCharType="separate"/>
      </w:r>
      <w:r>
        <w:rPr>
          <w:rFonts w:hint="eastAsia" w:ascii="宋体" w:hAnsi="宋体" w:cs="宋体"/>
          <w:lang w:val="en-US"/>
        </w:rPr>
        <w:t>⑥</w:t>
      </w:r>
      <w:r>
        <w:rPr>
          <w:snapToGrid w:val="0"/>
          <w:spacing w:val="-16"/>
        </w:rPr>
        <w:fldChar w:fldCharType="end"/>
      </w:r>
      <w:r>
        <w:rPr>
          <w:snapToGrid w:val="0"/>
          <w:spacing w:val="-16"/>
          <w:lang w:val="en-US"/>
        </w:rPr>
        <w:t>=</w:t>
      </w:r>
      <w:r>
        <w:rPr>
          <w:snapToGrid w:val="0"/>
        </w:rPr>
        <w:fldChar w:fldCharType="begin"/>
      </w:r>
      <w:r>
        <w:rPr>
          <w:snapToGrid w:val="0"/>
          <w:lang w:val="en-US"/>
        </w:rPr>
        <w:instrText xml:space="preserve"> = 1 \* GB3 \* MERGEFORMAT </w:instrText>
      </w:r>
      <w:r>
        <w:rPr>
          <w:snapToGrid w:val="0"/>
        </w:rPr>
        <w:fldChar w:fldCharType="separate"/>
      </w:r>
      <w:r>
        <w:rPr>
          <w:rFonts w:hint="eastAsia" w:ascii="宋体" w:hAnsi="宋体" w:cs="宋体"/>
          <w:lang w:val="en-US"/>
        </w:rPr>
        <w:t>①</w:t>
      </w:r>
      <w:r>
        <w:rPr>
          <w:snapToGrid w:val="0"/>
        </w:rPr>
        <w:fldChar w:fldCharType="end"/>
      </w:r>
      <w:r>
        <w:rPr>
          <w:snapToGrid w:val="0"/>
          <w:lang w:val="en-US"/>
        </w:rPr>
        <w:t>+</w:t>
      </w:r>
      <w:r>
        <w:rPr>
          <w:snapToGrid w:val="0"/>
        </w:rPr>
        <w:fldChar w:fldCharType="begin"/>
      </w:r>
      <w:r>
        <w:rPr>
          <w:snapToGrid w:val="0"/>
          <w:lang w:val="en-US"/>
        </w:rPr>
        <w:instrText xml:space="preserve"> = 3 \* GB3 \* MERGEFORMAT </w:instrText>
      </w:r>
      <w:r>
        <w:rPr>
          <w:snapToGrid w:val="0"/>
        </w:rPr>
        <w:fldChar w:fldCharType="separate"/>
      </w:r>
      <w:r>
        <w:rPr>
          <w:rFonts w:hint="eastAsia" w:ascii="宋体" w:hAnsi="宋体" w:cs="宋体"/>
          <w:lang w:val="en-US"/>
        </w:rPr>
        <w:t>③</w:t>
      </w:r>
      <w:r>
        <w:rPr>
          <w:snapToGrid w:val="0"/>
        </w:rPr>
        <w:fldChar w:fldCharType="end"/>
      </w:r>
      <w:r>
        <w:rPr>
          <w:snapToGrid w:val="0"/>
          <w:lang w:val="en-US"/>
        </w:rPr>
        <w:t>+</w:t>
      </w:r>
      <w:r>
        <w:rPr>
          <w:snapToGrid w:val="0"/>
        </w:rPr>
        <w:fldChar w:fldCharType="begin"/>
      </w:r>
      <w:r>
        <w:rPr>
          <w:snapToGrid w:val="0"/>
          <w:lang w:val="en-US"/>
        </w:rPr>
        <w:instrText xml:space="preserve"> = 4 \* GB3 \* MERGEFORMAT </w:instrText>
      </w:r>
      <w:r>
        <w:rPr>
          <w:snapToGrid w:val="0"/>
        </w:rPr>
        <w:fldChar w:fldCharType="separate"/>
      </w:r>
      <w:r>
        <w:rPr>
          <w:rFonts w:hint="eastAsia" w:ascii="宋体" w:hAnsi="宋体" w:cs="宋体"/>
          <w:lang w:val="en-US"/>
        </w:rPr>
        <w:t>④</w:t>
      </w:r>
      <w:r>
        <w:rPr>
          <w:snapToGrid w:val="0"/>
        </w:rPr>
        <w:fldChar w:fldCharType="end"/>
      </w:r>
      <w:r>
        <w:rPr>
          <w:snapToGrid w:val="0"/>
          <w:lang w:val="en-US"/>
        </w:rPr>
        <w:t>-</w:t>
      </w:r>
      <w:r>
        <w:rPr>
          <w:snapToGrid w:val="0"/>
          <w:spacing w:val="-16"/>
        </w:rPr>
        <w:fldChar w:fldCharType="begin"/>
      </w:r>
      <w:r>
        <w:rPr>
          <w:snapToGrid w:val="0"/>
          <w:spacing w:val="-16"/>
          <w:lang w:val="en-US"/>
        </w:rPr>
        <w:instrText xml:space="preserve"> = 5 \* GB3 \* MERGEFORMAT </w:instrText>
      </w:r>
      <w:r>
        <w:rPr>
          <w:snapToGrid w:val="0"/>
          <w:spacing w:val="-16"/>
        </w:rPr>
        <w:fldChar w:fldCharType="separate"/>
      </w:r>
      <w:r>
        <w:rPr>
          <w:rFonts w:hint="eastAsia" w:ascii="宋体" w:hAnsi="宋体" w:cs="宋体"/>
          <w:lang w:val="en-US"/>
        </w:rPr>
        <w:t>⑤</w:t>
      </w:r>
      <w:r>
        <w:rPr>
          <w:snapToGrid w:val="0"/>
          <w:spacing w:val="-16"/>
        </w:rPr>
        <w:fldChar w:fldCharType="end"/>
      </w:r>
      <w:r>
        <w:rPr>
          <w:snapToGrid w:val="0"/>
          <w:spacing w:val="-16"/>
          <w:lang w:val="en-US"/>
        </w:rPr>
        <w:t>；</w:t>
      </w:r>
      <w:r>
        <w:rPr>
          <w:snapToGrid w:val="0"/>
        </w:rPr>
        <w:fldChar w:fldCharType="begin"/>
      </w:r>
      <w:r>
        <w:rPr>
          <w:snapToGrid w:val="0"/>
          <w:lang w:val="en-US"/>
        </w:rPr>
        <w:instrText xml:space="preserve"> = 7 \* GB3 \* MERGEFORMAT </w:instrText>
      </w:r>
      <w:r>
        <w:rPr>
          <w:snapToGrid w:val="0"/>
        </w:rPr>
        <w:fldChar w:fldCharType="separate"/>
      </w:r>
      <w:r>
        <w:rPr>
          <w:rFonts w:hint="eastAsia" w:ascii="宋体" w:hAnsi="宋体" w:cs="宋体"/>
          <w:lang w:val="en-US"/>
        </w:rPr>
        <w:t>⑦</w:t>
      </w:r>
      <w:r>
        <w:rPr>
          <w:snapToGrid w:val="0"/>
        </w:rPr>
        <w:fldChar w:fldCharType="end"/>
      </w:r>
      <w:r>
        <w:rPr>
          <w:snapToGrid w:val="0"/>
          <w:lang w:val="en-US"/>
        </w:rPr>
        <w:t>=</w:t>
      </w:r>
      <w:r>
        <w:rPr>
          <w:snapToGrid w:val="0"/>
          <w:spacing w:val="-16"/>
        </w:rPr>
        <w:fldChar w:fldCharType="begin"/>
      </w:r>
      <w:r>
        <w:rPr>
          <w:snapToGrid w:val="0"/>
          <w:spacing w:val="-16"/>
          <w:lang w:val="en-US"/>
        </w:rPr>
        <w:instrText xml:space="preserve"> = 6 \* GB3 \* MERGEFORMAT </w:instrText>
      </w:r>
      <w:r>
        <w:rPr>
          <w:snapToGrid w:val="0"/>
          <w:spacing w:val="-16"/>
        </w:rPr>
        <w:fldChar w:fldCharType="separate"/>
      </w:r>
      <w:r>
        <w:rPr>
          <w:rFonts w:hint="eastAsia" w:ascii="宋体" w:hAnsi="宋体" w:cs="宋体"/>
          <w:lang w:val="en-US"/>
        </w:rPr>
        <w:t>⑥</w:t>
      </w:r>
      <w:r>
        <w:rPr>
          <w:snapToGrid w:val="0"/>
          <w:spacing w:val="-16"/>
        </w:rPr>
        <w:fldChar w:fldCharType="end"/>
      </w:r>
      <w:r>
        <w:rPr>
          <w:snapToGrid w:val="0"/>
          <w:spacing w:val="-16"/>
          <w:lang w:val="en-US"/>
        </w:rPr>
        <w:t>-</w:t>
      </w:r>
      <w:r>
        <w:rPr>
          <w:snapToGrid w:val="0"/>
        </w:rPr>
        <w:fldChar w:fldCharType="begin"/>
      </w:r>
      <w:r>
        <w:rPr>
          <w:snapToGrid w:val="0"/>
          <w:lang w:val="en-US"/>
        </w:rPr>
        <w:instrText xml:space="preserve"> = 1 \* GB3 \* MERGEFORMAT </w:instrText>
      </w:r>
      <w:r>
        <w:rPr>
          <w:snapToGrid w:val="0"/>
        </w:rPr>
        <w:fldChar w:fldCharType="separate"/>
      </w:r>
      <w:r>
        <w:rPr>
          <w:rFonts w:hint="eastAsia" w:ascii="宋体" w:hAnsi="宋体" w:cs="宋体"/>
          <w:lang w:val="en-US"/>
        </w:rPr>
        <w:t>①</w:t>
      </w:r>
      <w:r>
        <w:rPr>
          <w:snapToGrid w:val="0"/>
        </w:rPr>
        <w:fldChar w:fldCharType="end"/>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Geneva">
    <w:altName w:val="Arial"/>
    <w:panose1 w:val="00000000000000000000"/>
    <w:charset w:val="00"/>
    <w:family w:val="swiss"/>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1F00FF" w:csb1="FFFF0000"/>
  </w:font>
  <w:font w:name="PMingLiU">
    <w:panose1 w:val="02020500000000000000"/>
    <w:charset w:val="88"/>
    <w:family w:val="auto"/>
    <w:pitch w:val="default"/>
    <w:sig w:usb0="A00002FF" w:usb1="28CFFCFA" w:usb2="00000016" w:usb3="00000000" w:csb0="00100001" w:csb1="0000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24</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1"/>
                      <w:jc w:val="center"/>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24</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5"/>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YzBlOTQ2NWM0M2JiMWU0NjQ5OTYwNWM3ZTM5YjYifQ=="/>
  </w:docVars>
  <w:rsids>
    <w:rsidRoot w:val="00172A27"/>
    <w:rsid w:val="00000EB7"/>
    <w:rsid w:val="00003504"/>
    <w:rsid w:val="000042E7"/>
    <w:rsid w:val="000058C3"/>
    <w:rsid w:val="00006299"/>
    <w:rsid w:val="00007A15"/>
    <w:rsid w:val="00007BEE"/>
    <w:rsid w:val="0001055A"/>
    <w:rsid w:val="00011F47"/>
    <w:rsid w:val="00015C7A"/>
    <w:rsid w:val="00017FA5"/>
    <w:rsid w:val="00017FD5"/>
    <w:rsid w:val="0002057B"/>
    <w:rsid w:val="00021597"/>
    <w:rsid w:val="00021D79"/>
    <w:rsid w:val="00023233"/>
    <w:rsid w:val="0002334C"/>
    <w:rsid w:val="00026CBB"/>
    <w:rsid w:val="00034BC6"/>
    <w:rsid w:val="00036429"/>
    <w:rsid w:val="00040B7D"/>
    <w:rsid w:val="00041428"/>
    <w:rsid w:val="000418AB"/>
    <w:rsid w:val="000425B6"/>
    <w:rsid w:val="00042C93"/>
    <w:rsid w:val="000453C5"/>
    <w:rsid w:val="000455D2"/>
    <w:rsid w:val="0004592A"/>
    <w:rsid w:val="00046ADA"/>
    <w:rsid w:val="000500DA"/>
    <w:rsid w:val="000500FD"/>
    <w:rsid w:val="00051995"/>
    <w:rsid w:val="0005288D"/>
    <w:rsid w:val="00052CD5"/>
    <w:rsid w:val="00054285"/>
    <w:rsid w:val="000555DF"/>
    <w:rsid w:val="00056A20"/>
    <w:rsid w:val="00060132"/>
    <w:rsid w:val="00060772"/>
    <w:rsid w:val="00060DAF"/>
    <w:rsid w:val="000617B0"/>
    <w:rsid w:val="00062368"/>
    <w:rsid w:val="000637C8"/>
    <w:rsid w:val="000705F7"/>
    <w:rsid w:val="00070991"/>
    <w:rsid w:val="00071901"/>
    <w:rsid w:val="00073FE0"/>
    <w:rsid w:val="00074F1C"/>
    <w:rsid w:val="00077DE6"/>
    <w:rsid w:val="00080162"/>
    <w:rsid w:val="0008028E"/>
    <w:rsid w:val="00082596"/>
    <w:rsid w:val="0008278C"/>
    <w:rsid w:val="00083115"/>
    <w:rsid w:val="00084AAC"/>
    <w:rsid w:val="0008559D"/>
    <w:rsid w:val="00085CCB"/>
    <w:rsid w:val="00086D8C"/>
    <w:rsid w:val="00087EA4"/>
    <w:rsid w:val="000904B4"/>
    <w:rsid w:val="00091126"/>
    <w:rsid w:val="000914A7"/>
    <w:rsid w:val="00091B97"/>
    <w:rsid w:val="00091DDC"/>
    <w:rsid w:val="00092DD6"/>
    <w:rsid w:val="0009385F"/>
    <w:rsid w:val="00095968"/>
    <w:rsid w:val="00095B30"/>
    <w:rsid w:val="00096794"/>
    <w:rsid w:val="00097D15"/>
    <w:rsid w:val="000A11D2"/>
    <w:rsid w:val="000A2D64"/>
    <w:rsid w:val="000A657C"/>
    <w:rsid w:val="000A7578"/>
    <w:rsid w:val="000A7C69"/>
    <w:rsid w:val="000B059D"/>
    <w:rsid w:val="000B0F64"/>
    <w:rsid w:val="000B1989"/>
    <w:rsid w:val="000B43C8"/>
    <w:rsid w:val="000B4974"/>
    <w:rsid w:val="000B4CC0"/>
    <w:rsid w:val="000B507A"/>
    <w:rsid w:val="000B636F"/>
    <w:rsid w:val="000B7D02"/>
    <w:rsid w:val="000C27E8"/>
    <w:rsid w:val="000C50B0"/>
    <w:rsid w:val="000C5444"/>
    <w:rsid w:val="000C5B7E"/>
    <w:rsid w:val="000C75DB"/>
    <w:rsid w:val="000D04BB"/>
    <w:rsid w:val="000D17C1"/>
    <w:rsid w:val="000D346D"/>
    <w:rsid w:val="000D40A0"/>
    <w:rsid w:val="000D668E"/>
    <w:rsid w:val="000D7566"/>
    <w:rsid w:val="000E1C20"/>
    <w:rsid w:val="000E4321"/>
    <w:rsid w:val="000E75B8"/>
    <w:rsid w:val="000F047B"/>
    <w:rsid w:val="000F1488"/>
    <w:rsid w:val="000F1FEB"/>
    <w:rsid w:val="000F2ADD"/>
    <w:rsid w:val="000F2C30"/>
    <w:rsid w:val="000F3253"/>
    <w:rsid w:val="000F4897"/>
    <w:rsid w:val="000F519E"/>
    <w:rsid w:val="000F6956"/>
    <w:rsid w:val="000F6EBC"/>
    <w:rsid w:val="000F7086"/>
    <w:rsid w:val="001009D7"/>
    <w:rsid w:val="0010178D"/>
    <w:rsid w:val="00106A0E"/>
    <w:rsid w:val="00106E9D"/>
    <w:rsid w:val="0010744B"/>
    <w:rsid w:val="00110F00"/>
    <w:rsid w:val="00111B75"/>
    <w:rsid w:val="0011256D"/>
    <w:rsid w:val="00115042"/>
    <w:rsid w:val="00116539"/>
    <w:rsid w:val="00116A76"/>
    <w:rsid w:val="00120162"/>
    <w:rsid w:val="00121C84"/>
    <w:rsid w:val="0012213E"/>
    <w:rsid w:val="001238A7"/>
    <w:rsid w:val="00123F1D"/>
    <w:rsid w:val="001241CE"/>
    <w:rsid w:val="0012548C"/>
    <w:rsid w:val="0012566A"/>
    <w:rsid w:val="001311D4"/>
    <w:rsid w:val="0013240E"/>
    <w:rsid w:val="00132D3D"/>
    <w:rsid w:val="00133F67"/>
    <w:rsid w:val="0013483A"/>
    <w:rsid w:val="00136536"/>
    <w:rsid w:val="00140A1E"/>
    <w:rsid w:val="00141691"/>
    <w:rsid w:val="00143C5E"/>
    <w:rsid w:val="00143DE6"/>
    <w:rsid w:val="00145D7A"/>
    <w:rsid w:val="00145EA4"/>
    <w:rsid w:val="0014601F"/>
    <w:rsid w:val="00150306"/>
    <w:rsid w:val="001503BD"/>
    <w:rsid w:val="00150D05"/>
    <w:rsid w:val="00151376"/>
    <w:rsid w:val="001524F9"/>
    <w:rsid w:val="00152ED0"/>
    <w:rsid w:val="00153B59"/>
    <w:rsid w:val="00154502"/>
    <w:rsid w:val="00154A9A"/>
    <w:rsid w:val="0015600F"/>
    <w:rsid w:val="00156D58"/>
    <w:rsid w:val="00156DD5"/>
    <w:rsid w:val="001612AF"/>
    <w:rsid w:val="00161422"/>
    <w:rsid w:val="00162636"/>
    <w:rsid w:val="001628C9"/>
    <w:rsid w:val="001649C3"/>
    <w:rsid w:val="00165401"/>
    <w:rsid w:val="001662A0"/>
    <w:rsid w:val="00167E11"/>
    <w:rsid w:val="00171BA2"/>
    <w:rsid w:val="00171CBB"/>
    <w:rsid w:val="0017218A"/>
    <w:rsid w:val="0017232F"/>
    <w:rsid w:val="00172A27"/>
    <w:rsid w:val="0017302F"/>
    <w:rsid w:val="00173210"/>
    <w:rsid w:val="00174CAB"/>
    <w:rsid w:val="00175680"/>
    <w:rsid w:val="00175D83"/>
    <w:rsid w:val="001811F9"/>
    <w:rsid w:val="00182B98"/>
    <w:rsid w:val="00182EFC"/>
    <w:rsid w:val="001839A8"/>
    <w:rsid w:val="00185325"/>
    <w:rsid w:val="001906E1"/>
    <w:rsid w:val="00190D24"/>
    <w:rsid w:val="00193D63"/>
    <w:rsid w:val="00194374"/>
    <w:rsid w:val="00195B31"/>
    <w:rsid w:val="0019776B"/>
    <w:rsid w:val="001A2B1A"/>
    <w:rsid w:val="001A2B41"/>
    <w:rsid w:val="001A321B"/>
    <w:rsid w:val="001A475F"/>
    <w:rsid w:val="001A5476"/>
    <w:rsid w:val="001A576D"/>
    <w:rsid w:val="001A6572"/>
    <w:rsid w:val="001A68A4"/>
    <w:rsid w:val="001B0662"/>
    <w:rsid w:val="001B0BB7"/>
    <w:rsid w:val="001B19BB"/>
    <w:rsid w:val="001B2508"/>
    <w:rsid w:val="001B280E"/>
    <w:rsid w:val="001B2E88"/>
    <w:rsid w:val="001B35E6"/>
    <w:rsid w:val="001B390F"/>
    <w:rsid w:val="001B610C"/>
    <w:rsid w:val="001B6E19"/>
    <w:rsid w:val="001B70A8"/>
    <w:rsid w:val="001B7C39"/>
    <w:rsid w:val="001C13B9"/>
    <w:rsid w:val="001C616F"/>
    <w:rsid w:val="001C761B"/>
    <w:rsid w:val="001D1677"/>
    <w:rsid w:val="001D274D"/>
    <w:rsid w:val="001D2A70"/>
    <w:rsid w:val="001D4B7A"/>
    <w:rsid w:val="001D53DE"/>
    <w:rsid w:val="001D549B"/>
    <w:rsid w:val="001D74CB"/>
    <w:rsid w:val="001D76F7"/>
    <w:rsid w:val="001E2729"/>
    <w:rsid w:val="001E4766"/>
    <w:rsid w:val="001E5548"/>
    <w:rsid w:val="001E72AD"/>
    <w:rsid w:val="001E75C4"/>
    <w:rsid w:val="001E7F46"/>
    <w:rsid w:val="001F101C"/>
    <w:rsid w:val="001F18AB"/>
    <w:rsid w:val="001F30D0"/>
    <w:rsid w:val="001F356F"/>
    <w:rsid w:val="001F4323"/>
    <w:rsid w:val="001F4661"/>
    <w:rsid w:val="001F52D4"/>
    <w:rsid w:val="001F6CF0"/>
    <w:rsid w:val="001F7F0A"/>
    <w:rsid w:val="00201DF5"/>
    <w:rsid w:val="00202979"/>
    <w:rsid w:val="0020397E"/>
    <w:rsid w:val="00203D3C"/>
    <w:rsid w:val="0020464F"/>
    <w:rsid w:val="00204B3A"/>
    <w:rsid w:val="00205621"/>
    <w:rsid w:val="00205781"/>
    <w:rsid w:val="002066AF"/>
    <w:rsid w:val="002074AF"/>
    <w:rsid w:val="00210905"/>
    <w:rsid w:val="0021129E"/>
    <w:rsid w:val="00213455"/>
    <w:rsid w:val="00217A53"/>
    <w:rsid w:val="00217F53"/>
    <w:rsid w:val="00220197"/>
    <w:rsid w:val="0022175F"/>
    <w:rsid w:val="00221DD5"/>
    <w:rsid w:val="00222E16"/>
    <w:rsid w:val="00223352"/>
    <w:rsid w:val="00223A10"/>
    <w:rsid w:val="00223E04"/>
    <w:rsid w:val="00224363"/>
    <w:rsid w:val="00224C7A"/>
    <w:rsid w:val="002265B0"/>
    <w:rsid w:val="002270A2"/>
    <w:rsid w:val="002276B0"/>
    <w:rsid w:val="002302B8"/>
    <w:rsid w:val="002312C2"/>
    <w:rsid w:val="00231DD8"/>
    <w:rsid w:val="00232427"/>
    <w:rsid w:val="002325EA"/>
    <w:rsid w:val="0023462A"/>
    <w:rsid w:val="002357EF"/>
    <w:rsid w:val="00235C19"/>
    <w:rsid w:val="0023704C"/>
    <w:rsid w:val="002404B3"/>
    <w:rsid w:val="00243B61"/>
    <w:rsid w:val="002453C9"/>
    <w:rsid w:val="0024651F"/>
    <w:rsid w:val="0024674F"/>
    <w:rsid w:val="002509A6"/>
    <w:rsid w:val="002510B9"/>
    <w:rsid w:val="00251E55"/>
    <w:rsid w:val="002523CE"/>
    <w:rsid w:val="00254291"/>
    <w:rsid w:val="002550C7"/>
    <w:rsid w:val="0025520C"/>
    <w:rsid w:val="0025747E"/>
    <w:rsid w:val="0026067E"/>
    <w:rsid w:val="00264984"/>
    <w:rsid w:val="0026608C"/>
    <w:rsid w:val="00266395"/>
    <w:rsid w:val="00267E5F"/>
    <w:rsid w:val="00267F31"/>
    <w:rsid w:val="00272596"/>
    <w:rsid w:val="002734B9"/>
    <w:rsid w:val="00273A41"/>
    <w:rsid w:val="002754FB"/>
    <w:rsid w:val="00275E7D"/>
    <w:rsid w:val="00280943"/>
    <w:rsid w:val="00280C99"/>
    <w:rsid w:val="00280DC9"/>
    <w:rsid w:val="002819D1"/>
    <w:rsid w:val="00281CF6"/>
    <w:rsid w:val="00282B1E"/>
    <w:rsid w:val="00284FF6"/>
    <w:rsid w:val="00285478"/>
    <w:rsid w:val="002855D5"/>
    <w:rsid w:val="00286287"/>
    <w:rsid w:val="00286BC0"/>
    <w:rsid w:val="00287D75"/>
    <w:rsid w:val="00290223"/>
    <w:rsid w:val="00290C29"/>
    <w:rsid w:val="00290D0D"/>
    <w:rsid w:val="002912F9"/>
    <w:rsid w:val="0029195E"/>
    <w:rsid w:val="00292029"/>
    <w:rsid w:val="002933DA"/>
    <w:rsid w:val="002A0232"/>
    <w:rsid w:val="002A0717"/>
    <w:rsid w:val="002A1479"/>
    <w:rsid w:val="002A3BEC"/>
    <w:rsid w:val="002A4EF8"/>
    <w:rsid w:val="002A6BBA"/>
    <w:rsid w:val="002A71AC"/>
    <w:rsid w:val="002A7844"/>
    <w:rsid w:val="002A7C03"/>
    <w:rsid w:val="002B0DA7"/>
    <w:rsid w:val="002B0EE4"/>
    <w:rsid w:val="002B2FDC"/>
    <w:rsid w:val="002B3267"/>
    <w:rsid w:val="002B3356"/>
    <w:rsid w:val="002B4A63"/>
    <w:rsid w:val="002B54CC"/>
    <w:rsid w:val="002B652C"/>
    <w:rsid w:val="002C0B3A"/>
    <w:rsid w:val="002C3403"/>
    <w:rsid w:val="002C6BB4"/>
    <w:rsid w:val="002D066B"/>
    <w:rsid w:val="002D102F"/>
    <w:rsid w:val="002D122C"/>
    <w:rsid w:val="002D5DD0"/>
    <w:rsid w:val="002D7529"/>
    <w:rsid w:val="002D7EE6"/>
    <w:rsid w:val="002E1CBA"/>
    <w:rsid w:val="002E4542"/>
    <w:rsid w:val="002E4BFE"/>
    <w:rsid w:val="002E57CC"/>
    <w:rsid w:val="002E5912"/>
    <w:rsid w:val="002E5AEC"/>
    <w:rsid w:val="002E7731"/>
    <w:rsid w:val="002E7E8F"/>
    <w:rsid w:val="002F0D40"/>
    <w:rsid w:val="002F399B"/>
    <w:rsid w:val="002F4511"/>
    <w:rsid w:val="002F5513"/>
    <w:rsid w:val="002F5FC0"/>
    <w:rsid w:val="002F6EDB"/>
    <w:rsid w:val="002F769E"/>
    <w:rsid w:val="002F782F"/>
    <w:rsid w:val="00300416"/>
    <w:rsid w:val="00302E29"/>
    <w:rsid w:val="003070F0"/>
    <w:rsid w:val="003074B5"/>
    <w:rsid w:val="00310AF2"/>
    <w:rsid w:val="003110A9"/>
    <w:rsid w:val="0031436D"/>
    <w:rsid w:val="00314F04"/>
    <w:rsid w:val="003165AE"/>
    <w:rsid w:val="0031788E"/>
    <w:rsid w:val="003201A4"/>
    <w:rsid w:val="003202E6"/>
    <w:rsid w:val="003208AB"/>
    <w:rsid w:val="00320DD8"/>
    <w:rsid w:val="00321291"/>
    <w:rsid w:val="003231FE"/>
    <w:rsid w:val="00323D8A"/>
    <w:rsid w:val="00325B9C"/>
    <w:rsid w:val="00325EB2"/>
    <w:rsid w:val="003260CF"/>
    <w:rsid w:val="00326A00"/>
    <w:rsid w:val="00327CB1"/>
    <w:rsid w:val="00330275"/>
    <w:rsid w:val="0033072F"/>
    <w:rsid w:val="00330A11"/>
    <w:rsid w:val="003325C3"/>
    <w:rsid w:val="00332B99"/>
    <w:rsid w:val="00332D41"/>
    <w:rsid w:val="0033738A"/>
    <w:rsid w:val="00340192"/>
    <w:rsid w:val="00340E7B"/>
    <w:rsid w:val="00340FEF"/>
    <w:rsid w:val="00342463"/>
    <w:rsid w:val="00342937"/>
    <w:rsid w:val="00342A89"/>
    <w:rsid w:val="00343B24"/>
    <w:rsid w:val="003452CC"/>
    <w:rsid w:val="003458F5"/>
    <w:rsid w:val="003501E9"/>
    <w:rsid w:val="003504FD"/>
    <w:rsid w:val="00350547"/>
    <w:rsid w:val="003506CB"/>
    <w:rsid w:val="00350CE1"/>
    <w:rsid w:val="00352862"/>
    <w:rsid w:val="00355833"/>
    <w:rsid w:val="003576C2"/>
    <w:rsid w:val="00360720"/>
    <w:rsid w:val="0036140E"/>
    <w:rsid w:val="0036181D"/>
    <w:rsid w:val="003628AF"/>
    <w:rsid w:val="00363526"/>
    <w:rsid w:val="00363789"/>
    <w:rsid w:val="003649CE"/>
    <w:rsid w:val="00365A06"/>
    <w:rsid w:val="00366F4B"/>
    <w:rsid w:val="003711F5"/>
    <w:rsid w:val="00371B43"/>
    <w:rsid w:val="0037262D"/>
    <w:rsid w:val="0037288B"/>
    <w:rsid w:val="00373C39"/>
    <w:rsid w:val="0037622E"/>
    <w:rsid w:val="00376731"/>
    <w:rsid w:val="003775BD"/>
    <w:rsid w:val="00387AB4"/>
    <w:rsid w:val="00390D61"/>
    <w:rsid w:val="00390DE7"/>
    <w:rsid w:val="00391461"/>
    <w:rsid w:val="003924A4"/>
    <w:rsid w:val="0039359D"/>
    <w:rsid w:val="0039429C"/>
    <w:rsid w:val="00395C28"/>
    <w:rsid w:val="003A4612"/>
    <w:rsid w:val="003A745C"/>
    <w:rsid w:val="003B14DA"/>
    <w:rsid w:val="003B1B47"/>
    <w:rsid w:val="003B26E0"/>
    <w:rsid w:val="003B3ECA"/>
    <w:rsid w:val="003B5E97"/>
    <w:rsid w:val="003B74B7"/>
    <w:rsid w:val="003C28DE"/>
    <w:rsid w:val="003C5FBA"/>
    <w:rsid w:val="003D2B84"/>
    <w:rsid w:val="003D2DFA"/>
    <w:rsid w:val="003D3961"/>
    <w:rsid w:val="003D3A1C"/>
    <w:rsid w:val="003D7B2A"/>
    <w:rsid w:val="003E0BA2"/>
    <w:rsid w:val="003E4537"/>
    <w:rsid w:val="003E55FB"/>
    <w:rsid w:val="003F0B86"/>
    <w:rsid w:val="003F14C6"/>
    <w:rsid w:val="003F1EC8"/>
    <w:rsid w:val="003F1FAC"/>
    <w:rsid w:val="003F2554"/>
    <w:rsid w:val="003F3B5F"/>
    <w:rsid w:val="003F61AB"/>
    <w:rsid w:val="003F6C45"/>
    <w:rsid w:val="003F72F5"/>
    <w:rsid w:val="00400162"/>
    <w:rsid w:val="0040064F"/>
    <w:rsid w:val="0040162E"/>
    <w:rsid w:val="00402843"/>
    <w:rsid w:val="00406B83"/>
    <w:rsid w:val="00410D8B"/>
    <w:rsid w:val="00416612"/>
    <w:rsid w:val="0041682E"/>
    <w:rsid w:val="00422A4B"/>
    <w:rsid w:val="00422ACE"/>
    <w:rsid w:val="00423A38"/>
    <w:rsid w:val="0042464A"/>
    <w:rsid w:val="004250C7"/>
    <w:rsid w:val="00425BE5"/>
    <w:rsid w:val="00425F54"/>
    <w:rsid w:val="0043078C"/>
    <w:rsid w:val="004308BC"/>
    <w:rsid w:val="00432A62"/>
    <w:rsid w:val="004339A0"/>
    <w:rsid w:val="00433E93"/>
    <w:rsid w:val="00433FFA"/>
    <w:rsid w:val="00436610"/>
    <w:rsid w:val="00440BA4"/>
    <w:rsid w:val="00441F48"/>
    <w:rsid w:val="0044408E"/>
    <w:rsid w:val="00445842"/>
    <w:rsid w:val="00445FDA"/>
    <w:rsid w:val="0044650F"/>
    <w:rsid w:val="0044752D"/>
    <w:rsid w:val="00450EAC"/>
    <w:rsid w:val="00450F40"/>
    <w:rsid w:val="00451735"/>
    <w:rsid w:val="00451CFC"/>
    <w:rsid w:val="00454CDF"/>
    <w:rsid w:val="00457F08"/>
    <w:rsid w:val="00462E85"/>
    <w:rsid w:val="00463116"/>
    <w:rsid w:val="00464B1B"/>
    <w:rsid w:val="004659D1"/>
    <w:rsid w:val="004676C6"/>
    <w:rsid w:val="00470384"/>
    <w:rsid w:val="00471C27"/>
    <w:rsid w:val="00472E49"/>
    <w:rsid w:val="00473D2D"/>
    <w:rsid w:val="00473F8A"/>
    <w:rsid w:val="0047476D"/>
    <w:rsid w:val="00474AB4"/>
    <w:rsid w:val="00474C58"/>
    <w:rsid w:val="00476584"/>
    <w:rsid w:val="004821FB"/>
    <w:rsid w:val="00483EE9"/>
    <w:rsid w:val="004854E2"/>
    <w:rsid w:val="0048562E"/>
    <w:rsid w:val="004873F2"/>
    <w:rsid w:val="004911CA"/>
    <w:rsid w:val="0049185F"/>
    <w:rsid w:val="00492F65"/>
    <w:rsid w:val="0049357F"/>
    <w:rsid w:val="004942E1"/>
    <w:rsid w:val="00494A01"/>
    <w:rsid w:val="004A08B9"/>
    <w:rsid w:val="004A32DE"/>
    <w:rsid w:val="004A5124"/>
    <w:rsid w:val="004A6B60"/>
    <w:rsid w:val="004A6DB3"/>
    <w:rsid w:val="004B2236"/>
    <w:rsid w:val="004B2787"/>
    <w:rsid w:val="004B28CC"/>
    <w:rsid w:val="004B29AD"/>
    <w:rsid w:val="004B34F3"/>
    <w:rsid w:val="004B592E"/>
    <w:rsid w:val="004B5CCD"/>
    <w:rsid w:val="004B6ABC"/>
    <w:rsid w:val="004B7AF8"/>
    <w:rsid w:val="004C0102"/>
    <w:rsid w:val="004C27F6"/>
    <w:rsid w:val="004C35F1"/>
    <w:rsid w:val="004C3A89"/>
    <w:rsid w:val="004C430A"/>
    <w:rsid w:val="004C4C28"/>
    <w:rsid w:val="004C512A"/>
    <w:rsid w:val="004C5908"/>
    <w:rsid w:val="004C613B"/>
    <w:rsid w:val="004C6DA9"/>
    <w:rsid w:val="004D144E"/>
    <w:rsid w:val="004D14D0"/>
    <w:rsid w:val="004D1CC3"/>
    <w:rsid w:val="004D1D85"/>
    <w:rsid w:val="004D614A"/>
    <w:rsid w:val="004D6BCF"/>
    <w:rsid w:val="004D73EC"/>
    <w:rsid w:val="004E0660"/>
    <w:rsid w:val="004E2021"/>
    <w:rsid w:val="004E4CE4"/>
    <w:rsid w:val="004E5223"/>
    <w:rsid w:val="004E5972"/>
    <w:rsid w:val="004E6FD7"/>
    <w:rsid w:val="004F1446"/>
    <w:rsid w:val="004F28A9"/>
    <w:rsid w:val="004F2F40"/>
    <w:rsid w:val="004F4149"/>
    <w:rsid w:val="004F426D"/>
    <w:rsid w:val="004F7964"/>
    <w:rsid w:val="0050029A"/>
    <w:rsid w:val="00500F1A"/>
    <w:rsid w:val="00502402"/>
    <w:rsid w:val="0050512F"/>
    <w:rsid w:val="0050578C"/>
    <w:rsid w:val="00510E00"/>
    <w:rsid w:val="00512405"/>
    <w:rsid w:val="00512C85"/>
    <w:rsid w:val="00513309"/>
    <w:rsid w:val="0051443B"/>
    <w:rsid w:val="00514BB7"/>
    <w:rsid w:val="00515C52"/>
    <w:rsid w:val="0051705A"/>
    <w:rsid w:val="005217BC"/>
    <w:rsid w:val="0052337F"/>
    <w:rsid w:val="00525D70"/>
    <w:rsid w:val="005266CA"/>
    <w:rsid w:val="0053016A"/>
    <w:rsid w:val="00530BC3"/>
    <w:rsid w:val="0053203D"/>
    <w:rsid w:val="00532D8F"/>
    <w:rsid w:val="00533F36"/>
    <w:rsid w:val="00534A10"/>
    <w:rsid w:val="00536B97"/>
    <w:rsid w:val="005375BD"/>
    <w:rsid w:val="00540B3C"/>
    <w:rsid w:val="005423F8"/>
    <w:rsid w:val="00542B26"/>
    <w:rsid w:val="00542DBD"/>
    <w:rsid w:val="005433A1"/>
    <w:rsid w:val="0054636E"/>
    <w:rsid w:val="0054695A"/>
    <w:rsid w:val="005502C9"/>
    <w:rsid w:val="00550C0E"/>
    <w:rsid w:val="00551409"/>
    <w:rsid w:val="00551919"/>
    <w:rsid w:val="0055285A"/>
    <w:rsid w:val="0055322C"/>
    <w:rsid w:val="00553ADB"/>
    <w:rsid w:val="00555198"/>
    <w:rsid w:val="00555B6B"/>
    <w:rsid w:val="0055606B"/>
    <w:rsid w:val="00557297"/>
    <w:rsid w:val="00557D81"/>
    <w:rsid w:val="00561F7C"/>
    <w:rsid w:val="00562BF7"/>
    <w:rsid w:val="00564AB5"/>
    <w:rsid w:val="00564E42"/>
    <w:rsid w:val="00564EFF"/>
    <w:rsid w:val="00566EFD"/>
    <w:rsid w:val="00570125"/>
    <w:rsid w:val="00570857"/>
    <w:rsid w:val="00571480"/>
    <w:rsid w:val="00571BC1"/>
    <w:rsid w:val="00571C36"/>
    <w:rsid w:val="00572F4C"/>
    <w:rsid w:val="005753B8"/>
    <w:rsid w:val="00575CC9"/>
    <w:rsid w:val="00576813"/>
    <w:rsid w:val="005776FC"/>
    <w:rsid w:val="00577B83"/>
    <w:rsid w:val="0058002F"/>
    <w:rsid w:val="005810D2"/>
    <w:rsid w:val="00582B01"/>
    <w:rsid w:val="00582B15"/>
    <w:rsid w:val="00582C15"/>
    <w:rsid w:val="0058339D"/>
    <w:rsid w:val="00586330"/>
    <w:rsid w:val="00586C24"/>
    <w:rsid w:val="005902EC"/>
    <w:rsid w:val="005913DC"/>
    <w:rsid w:val="00591A45"/>
    <w:rsid w:val="00595131"/>
    <w:rsid w:val="00597A55"/>
    <w:rsid w:val="005A0C47"/>
    <w:rsid w:val="005A3FF1"/>
    <w:rsid w:val="005A488A"/>
    <w:rsid w:val="005A57BA"/>
    <w:rsid w:val="005A6AFE"/>
    <w:rsid w:val="005A6F55"/>
    <w:rsid w:val="005A74F7"/>
    <w:rsid w:val="005B00BC"/>
    <w:rsid w:val="005B0239"/>
    <w:rsid w:val="005B3433"/>
    <w:rsid w:val="005B5966"/>
    <w:rsid w:val="005B5AC8"/>
    <w:rsid w:val="005C1E5C"/>
    <w:rsid w:val="005C28B2"/>
    <w:rsid w:val="005C3A5E"/>
    <w:rsid w:val="005C4843"/>
    <w:rsid w:val="005C503C"/>
    <w:rsid w:val="005C6FD8"/>
    <w:rsid w:val="005D0FEA"/>
    <w:rsid w:val="005D1D86"/>
    <w:rsid w:val="005D5C83"/>
    <w:rsid w:val="005D5ED5"/>
    <w:rsid w:val="005D615D"/>
    <w:rsid w:val="005D6D28"/>
    <w:rsid w:val="005D7206"/>
    <w:rsid w:val="005E219F"/>
    <w:rsid w:val="005E237D"/>
    <w:rsid w:val="005E3674"/>
    <w:rsid w:val="005E49F3"/>
    <w:rsid w:val="005E5C77"/>
    <w:rsid w:val="005E6147"/>
    <w:rsid w:val="005F2D2B"/>
    <w:rsid w:val="005F3CC4"/>
    <w:rsid w:val="005F4199"/>
    <w:rsid w:val="005F64C0"/>
    <w:rsid w:val="005F7373"/>
    <w:rsid w:val="00600277"/>
    <w:rsid w:val="006006AD"/>
    <w:rsid w:val="00600FE3"/>
    <w:rsid w:val="00602408"/>
    <w:rsid w:val="006027CE"/>
    <w:rsid w:val="00603844"/>
    <w:rsid w:val="0060588B"/>
    <w:rsid w:val="006106C1"/>
    <w:rsid w:val="0061260E"/>
    <w:rsid w:val="00613BBE"/>
    <w:rsid w:val="00614DD7"/>
    <w:rsid w:val="006177A4"/>
    <w:rsid w:val="00617F41"/>
    <w:rsid w:val="00621A05"/>
    <w:rsid w:val="0062281D"/>
    <w:rsid w:val="006232FB"/>
    <w:rsid w:val="00623DC9"/>
    <w:rsid w:val="00624CBA"/>
    <w:rsid w:val="006274AA"/>
    <w:rsid w:val="006275E8"/>
    <w:rsid w:val="00630EC1"/>
    <w:rsid w:val="0063246C"/>
    <w:rsid w:val="00632667"/>
    <w:rsid w:val="00632CCA"/>
    <w:rsid w:val="0063448B"/>
    <w:rsid w:val="006355C3"/>
    <w:rsid w:val="006360BD"/>
    <w:rsid w:val="00636E3D"/>
    <w:rsid w:val="00640562"/>
    <w:rsid w:val="006405DC"/>
    <w:rsid w:val="00640AB1"/>
    <w:rsid w:val="00640CE0"/>
    <w:rsid w:val="00641771"/>
    <w:rsid w:val="006423C3"/>
    <w:rsid w:val="0064312A"/>
    <w:rsid w:val="0064350F"/>
    <w:rsid w:val="006452A0"/>
    <w:rsid w:val="00645870"/>
    <w:rsid w:val="0064641F"/>
    <w:rsid w:val="006474C1"/>
    <w:rsid w:val="0065167A"/>
    <w:rsid w:val="006517FD"/>
    <w:rsid w:val="006562F1"/>
    <w:rsid w:val="00656AF8"/>
    <w:rsid w:val="0066204E"/>
    <w:rsid w:val="00664300"/>
    <w:rsid w:val="00664619"/>
    <w:rsid w:val="00664668"/>
    <w:rsid w:val="00664AC6"/>
    <w:rsid w:val="00664AF1"/>
    <w:rsid w:val="00664FA5"/>
    <w:rsid w:val="0066505A"/>
    <w:rsid w:val="006651E5"/>
    <w:rsid w:val="00665260"/>
    <w:rsid w:val="00665D81"/>
    <w:rsid w:val="00666CAC"/>
    <w:rsid w:val="00667BEF"/>
    <w:rsid w:val="00670545"/>
    <w:rsid w:val="00670EFF"/>
    <w:rsid w:val="006712F5"/>
    <w:rsid w:val="0067158F"/>
    <w:rsid w:val="00671BF8"/>
    <w:rsid w:val="006734CD"/>
    <w:rsid w:val="00673523"/>
    <w:rsid w:val="00674231"/>
    <w:rsid w:val="00674BFC"/>
    <w:rsid w:val="00674DB1"/>
    <w:rsid w:val="0067512F"/>
    <w:rsid w:val="00675306"/>
    <w:rsid w:val="006754BD"/>
    <w:rsid w:val="006754E6"/>
    <w:rsid w:val="00675720"/>
    <w:rsid w:val="00676678"/>
    <w:rsid w:val="00676C47"/>
    <w:rsid w:val="006774F7"/>
    <w:rsid w:val="00677EC8"/>
    <w:rsid w:val="0068013A"/>
    <w:rsid w:val="0068034E"/>
    <w:rsid w:val="00683121"/>
    <w:rsid w:val="00685649"/>
    <w:rsid w:val="006908FC"/>
    <w:rsid w:val="0069099E"/>
    <w:rsid w:val="006921BE"/>
    <w:rsid w:val="00692E73"/>
    <w:rsid w:val="00693BCE"/>
    <w:rsid w:val="00694D79"/>
    <w:rsid w:val="006960E8"/>
    <w:rsid w:val="006A0FEE"/>
    <w:rsid w:val="006A332D"/>
    <w:rsid w:val="006A4703"/>
    <w:rsid w:val="006A623D"/>
    <w:rsid w:val="006A6BE8"/>
    <w:rsid w:val="006A6F0B"/>
    <w:rsid w:val="006A7B4F"/>
    <w:rsid w:val="006B12FA"/>
    <w:rsid w:val="006B3423"/>
    <w:rsid w:val="006B3D27"/>
    <w:rsid w:val="006B3F7F"/>
    <w:rsid w:val="006C1441"/>
    <w:rsid w:val="006C1E3F"/>
    <w:rsid w:val="006C27EF"/>
    <w:rsid w:val="006C2E57"/>
    <w:rsid w:val="006C366C"/>
    <w:rsid w:val="006C3699"/>
    <w:rsid w:val="006C574E"/>
    <w:rsid w:val="006C5CAA"/>
    <w:rsid w:val="006C5F76"/>
    <w:rsid w:val="006C7241"/>
    <w:rsid w:val="006C7633"/>
    <w:rsid w:val="006C7BF4"/>
    <w:rsid w:val="006D166E"/>
    <w:rsid w:val="006D5167"/>
    <w:rsid w:val="006D6F3B"/>
    <w:rsid w:val="006D79A4"/>
    <w:rsid w:val="006E0CB4"/>
    <w:rsid w:val="006E110A"/>
    <w:rsid w:val="006E608F"/>
    <w:rsid w:val="006E71A3"/>
    <w:rsid w:val="006F298B"/>
    <w:rsid w:val="006F2C87"/>
    <w:rsid w:val="006F2ECE"/>
    <w:rsid w:val="006F5C97"/>
    <w:rsid w:val="006F7E18"/>
    <w:rsid w:val="00701816"/>
    <w:rsid w:val="00703879"/>
    <w:rsid w:val="007044AC"/>
    <w:rsid w:val="0070659E"/>
    <w:rsid w:val="00710721"/>
    <w:rsid w:val="007114E4"/>
    <w:rsid w:val="007117EE"/>
    <w:rsid w:val="007129F3"/>
    <w:rsid w:val="00712FB3"/>
    <w:rsid w:val="0071462E"/>
    <w:rsid w:val="00714690"/>
    <w:rsid w:val="00714896"/>
    <w:rsid w:val="00714D23"/>
    <w:rsid w:val="00715B80"/>
    <w:rsid w:val="00722E69"/>
    <w:rsid w:val="0072359F"/>
    <w:rsid w:val="00727B8E"/>
    <w:rsid w:val="00727D39"/>
    <w:rsid w:val="007305E7"/>
    <w:rsid w:val="00731D67"/>
    <w:rsid w:val="007331E9"/>
    <w:rsid w:val="0073338F"/>
    <w:rsid w:val="0073454A"/>
    <w:rsid w:val="00736731"/>
    <w:rsid w:val="00740357"/>
    <w:rsid w:val="00740677"/>
    <w:rsid w:val="00740A6C"/>
    <w:rsid w:val="0074470B"/>
    <w:rsid w:val="00744FF5"/>
    <w:rsid w:val="007452D9"/>
    <w:rsid w:val="007518EC"/>
    <w:rsid w:val="00752358"/>
    <w:rsid w:val="00753003"/>
    <w:rsid w:val="00754B08"/>
    <w:rsid w:val="007551C6"/>
    <w:rsid w:val="00756B27"/>
    <w:rsid w:val="00757D7B"/>
    <w:rsid w:val="007602CE"/>
    <w:rsid w:val="0076054C"/>
    <w:rsid w:val="00761124"/>
    <w:rsid w:val="00761304"/>
    <w:rsid w:val="007629AD"/>
    <w:rsid w:val="00764190"/>
    <w:rsid w:val="0076482F"/>
    <w:rsid w:val="00765A7D"/>
    <w:rsid w:val="007669C3"/>
    <w:rsid w:val="007673C7"/>
    <w:rsid w:val="0077077F"/>
    <w:rsid w:val="00770806"/>
    <w:rsid w:val="007734E3"/>
    <w:rsid w:val="0077560C"/>
    <w:rsid w:val="00775747"/>
    <w:rsid w:val="00777B0A"/>
    <w:rsid w:val="00777D91"/>
    <w:rsid w:val="00780472"/>
    <w:rsid w:val="007819EA"/>
    <w:rsid w:val="00784C74"/>
    <w:rsid w:val="00785B7E"/>
    <w:rsid w:val="00790B7B"/>
    <w:rsid w:val="00791A29"/>
    <w:rsid w:val="00791A9E"/>
    <w:rsid w:val="00791B7E"/>
    <w:rsid w:val="00792851"/>
    <w:rsid w:val="0079372A"/>
    <w:rsid w:val="0079596B"/>
    <w:rsid w:val="0079691B"/>
    <w:rsid w:val="00796AEA"/>
    <w:rsid w:val="00796AF8"/>
    <w:rsid w:val="007978EE"/>
    <w:rsid w:val="007A151A"/>
    <w:rsid w:val="007A1A39"/>
    <w:rsid w:val="007A2AB2"/>
    <w:rsid w:val="007A4300"/>
    <w:rsid w:val="007A65FA"/>
    <w:rsid w:val="007B0872"/>
    <w:rsid w:val="007B1E7C"/>
    <w:rsid w:val="007B36C7"/>
    <w:rsid w:val="007B3E3B"/>
    <w:rsid w:val="007B43B9"/>
    <w:rsid w:val="007B4AE3"/>
    <w:rsid w:val="007B4F1A"/>
    <w:rsid w:val="007B73FB"/>
    <w:rsid w:val="007B7A27"/>
    <w:rsid w:val="007C01E4"/>
    <w:rsid w:val="007C085B"/>
    <w:rsid w:val="007C4D71"/>
    <w:rsid w:val="007D156B"/>
    <w:rsid w:val="007D161F"/>
    <w:rsid w:val="007D27D9"/>
    <w:rsid w:val="007D2AC0"/>
    <w:rsid w:val="007D3279"/>
    <w:rsid w:val="007D3DFB"/>
    <w:rsid w:val="007D4F2B"/>
    <w:rsid w:val="007D51D0"/>
    <w:rsid w:val="007D6675"/>
    <w:rsid w:val="007E019F"/>
    <w:rsid w:val="007E12CF"/>
    <w:rsid w:val="007E3FD9"/>
    <w:rsid w:val="007E4D8B"/>
    <w:rsid w:val="007E4E77"/>
    <w:rsid w:val="007E4F5E"/>
    <w:rsid w:val="007E61E7"/>
    <w:rsid w:val="007E7979"/>
    <w:rsid w:val="007E7C73"/>
    <w:rsid w:val="007F0383"/>
    <w:rsid w:val="007F1B03"/>
    <w:rsid w:val="007F2E56"/>
    <w:rsid w:val="007F39AC"/>
    <w:rsid w:val="007F52D1"/>
    <w:rsid w:val="007F6B3A"/>
    <w:rsid w:val="007F762A"/>
    <w:rsid w:val="0080086D"/>
    <w:rsid w:val="008029D5"/>
    <w:rsid w:val="00803E6F"/>
    <w:rsid w:val="008044B5"/>
    <w:rsid w:val="00805572"/>
    <w:rsid w:val="00805D58"/>
    <w:rsid w:val="008070C1"/>
    <w:rsid w:val="00807CE0"/>
    <w:rsid w:val="00814290"/>
    <w:rsid w:val="0081543F"/>
    <w:rsid w:val="008160CF"/>
    <w:rsid w:val="008171CD"/>
    <w:rsid w:val="0081727E"/>
    <w:rsid w:val="00817719"/>
    <w:rsid w:val="0082154F"/>
    <w:rsid w:val="0082220C"/>
    <w:rsid w:val="0082283C"/>
    <w:rsid w:val="00822A12"/>
    <w:rsid w:val="00822EEB"/>
    <w:rsid w:val="00823728"/>
    <w:rsid w:val="00824210"/>
    <w:rsid w:val="00824955"/>
    <w:rsid w:val="00825BE6"/>
    <w:rsid w:val="00826DCF"/>
    <w:rsid w:val="00827C84"/>
    <w:rsid w:val="00830222"/>
    <w:rsid w:val="0083247D"/>
    <w:rsid w:val="0083369B"/>
    <w:rsid w:val="008345BA"/>
    <w:rsid w:val="00835773"/>
    <w:rsid w:val="00836C47"/>
    <w:rsid w:val="0083731D"/>
    <w:rsid w:val="00840275"/>
    <w:rsid w:val="00841051"/>
    <w:rsid w:val="00841860"/>
    <w:rsid w:val="008418D3"/>
    <w:rsid w:val="0084249F"/>
    <w:rsid w:val="008430D5"/>
    <w:rsid w:val="00847865"/>
    <w:rsid w:val="00847F5A"/>
    <w:rsid w:val="008519B1"/>
    <w:rsid w:val="00854973"/>
    <w:rsid w:val="0085606D"/>
    <w:rsid w:val="00856F74"/>
    <w:rsid w:val="008571F3"/>
    <w:rsid w:val="00860510"/>
    <w:rsid w:val="008611B4"/>
    <w:rsid w:val="00862037"/>
    <w:rsid w:val="008620C9"/>
    <w:rsid w:val="0086608D"/>
    <w:rsid w:val="0087058B"/>
    <w:rsid w:val="008713A4"/>
    <w:rsid w:val="00872C71"/>
    <w:rsid w:val="008745C0"/>
    <w:rsid w:val="00874A86"/>
    <w:rsid w:val="008765BB"/>
    <w:rsid w:val="0088332D"/>
    <w:rsid w:val="00884CAE"/>
    <w:rsid w:val="00886BD2"/>
    <w:rsid w:val="008877FB"/>
    <w:rsid w:val="00887D11"/>
    <w:rsid w:val="008905C5"/>
    <w:rsid w:val="00890AF3"/>
    <w:rsid w:val="008913F1"/>
    <w:rsid w:val="0089189B"/>
    <w:rsid w:val="00893676"/>
    <w:rsid w:val="00894FDA"/>
    <w:rsid w:val="008951A5"/>
    <w:rsid w:val="008963EE"/>
    <w:rsid w:val="00897276"/>
    <w:rsid w:val="0089771D"/>
    <w:rsid w:val="00897E03"/>
    <w:rsid w:val="00897E21"/>
    <w:rsid w:val="008A1F51"/>
    <w:rsid w:val="008A231F"/>
    <w:rsid w:val="008A2DF6"/>
    <w:rsid w:val="008A3213"/>
    <w:rsid w:val="008A72A9"/>
    <w:rsid w:val="008A7411"/>
    <w:rsid w:val="008B0E0B"/>
    <w:rsid w:val="008B1951"/>
    <w:rsid w:val="008B1FA4"/>
    <w:rsid w:val="008B2936"/>
    <w:rsid w:val="008B3F3C"/>
    <w:rsid w:val="008B61CE"/>
    <w:rsid w:val="008B6DF5"/>
    <w:rsid w:val="008C1FBB"/>
    <w:rsid w:val="008C21B0"/>
    <w:rsid w:val="008C5DE7"/>
    <w:rsid w:val="008C6FB3"/>
    <w:rsid w:val="008C707D"/>
    <w:rsid w:val="008C721F"/>
    <w:rsid w:val="008C7843"/>
    <w:rsid w:val="008D0206"/>
    <w:rsid w:val="008D0378"/>
    <w:rsid w:val="008D08A5"/>
    <w:rsid w:val="008D1153"/>
    <w:rsid w:val="008D1E61"/>
    <w:rsid w:val="008D29E5"/>
    <w:rsid w:val="008D44E2"/>
    <w:rsid w:val="008D661D"/>
    <w:rsid w:val="008D6DD0"/>
    <w:rsid w:val="008D6F9E"/>
    <w:rsid w:val="008D7C6E"/>
    <w:rsid w:val="008E1624"/>
    <w:rsid w:val="008E1824"/>
    <w:rsid w:val="008E1885"/>
    <w:rsid w:val="008E1E23"/>
    <w:rsid w:val="008E2A8E"/>
    <w:rsid w:val="008E39A3"/>
    <w:rsid w:val="008E40E1"/>
    <w:rsid w:val="008E455D"/>
    <w:rsid w:val="008E4CA2"/>
    <w:rsid w:val="008E676C"/>
    <w:rsid w:val="008F418D"/>
    <w:rsid w:val="008F7229"/>
    <w:rsid w:val="00900D08"/>
    <w:rsid w:val="00900E59"/>
    <w:rsid w:val="00901C01"/>
    <w:rsid w:val="0090223B"/>
    <w:rsid w:val="0090279E"/>
    <w:rsid w:val="00903B94"/>
    <w:rsid w:val="00906652"/>
    <w:rsid w:val="0090740E"/>
    <w:rsid w:val="00907870"/>
    <w:rsid w:val="00907EF9"/>
    <w:rsid w:val="00913795"/>
    <w:rsid w:val="00916AD8"/>
    <w:rsid w:val="0092041E"/>
    <w:rsid w:val="00922891"/>
    <w:rsid w:val="0092331D"/>
    <w:rsid w:val="00923B44"/>
    <w:rsid w:val="00930218"/>
    <w:rsid w:val="00933213"/>
    <w:rsid w:val="00935333"/>
    <w:rsid w:val="00935F76"/>
    <w:rsid w:val="00936847"/>
    <w:rsid w:val="00937420"/>
    <w:rsid w:val="009400A5"/>
    <w:rsid w:val="0094120C"/>
    <w:rsid w:val="009438D5"/>
    <w:rsid w:val="009438D7"/>
    <w:rsid w:val="00944024"/>
    <w:rsid w:val="009440F1"/>
    <w:rsid w:val="009450C8"/>
    <w:rsid w:val="0094785C"/>
    <w:rsid w:val="00950765"/>
    <w:rsid w:val="00951F65"/>
    <w:rsid w:val="00953F58"/>
    <w:rsid w:val="009605F1"/>
    <w:rsid w:val="0096299C"/>
    <w:rsid w:val="00963DB2"/>
    <w:rsid w:val="0096424B"/>
    <w:rsid w:val="009642C9"/>
    <w:rsid w:val="00965124"/>
    <w:rsid w:val="0096680F"/>
    <w:rsid w:val="00967404"/>
    <w:rsid w:val="00971C6D"/>
    <w:rsid w:val="00972ED4"/>
    <w:rsid w:val="0097383A"/>
    <w:rsid w:val="0097493F"/>
    <w:rsid w:val="00974C18"/>
    <w:rsid w:val="009755FF"/>
    <w:rsid w:val="00976B07"/>
    <w:rsid w:val="00976C88"/>
    <w:rsid w:val="00980EC9"/>
    <w:rsid w:val="00981695"/>
    <w:rsid w:val="009822B1"/>
    <w:rsid w:val="0098294A"/>
    <w:rsid w:val="009832BB"/>
    <w:rsid w:val="009835B7"/>
    <w:rsid w:val="00983D60"/>
    <w:rsid w:val="00985E83"/>
    <w:rsid w:val="009862A3"/>
    <w:rsid w:val="00986BB9"/>
    <w:rsid w:val="009907F0"/>
    <w:rsid w:val="00992610"/>
    <w:rsid w:val="00992649"/>
    <w:rsid w:val="009950D0"/>
    <w:rsid w:val="00995F0B"/>
    <w:rsid w:val="00996506"/>
    <w:rsid w:val="00996CAD"/>
    <w:rsid w:val="00997354"/>
    <w:rsid w:val="009A0037"/>
    <w:rsid w:val="009A42E4"/>
    <w:rsid w:val="009A43F3"/>
    <w:rsid w:val="009A5460"/>
    <w:rsid w:val="009A6A28"/>
    <w:rsid w:val="009A7457"/>
    <w:rsid w:val="009A795A"/>
    <w:rsid w:val="009B2B0A"/>
    <w:rsid w:val="009B2F1F"/>
    <w:rsid w:val="009B5BE0"/>
    <w:rsid w:val="009B6B47"/>
    <w:rsid w:val="009B7DB3"/>
    <w:rsid w:val="009B7F0A"/>
    <w:rsid w:val="009C1AB2"/>
    <w:rsid w:val="009C5484"/>
    <w:rsid w:val="009C70D9"/>
    <w:rsid w:val="009C7666"/>
    <w:rsid w:val="009D235A"/>
    <w:rsid w:val="009D2A0A"/>
    <w:rsid w:val="009D39C4"/>
    <w:rsid w:val="009D3BE6"/>
    <w:rsid w:val="009D65B8"/>
    <w:rsid w:val="009D6634"/>
    <w:rsid w:val="009D6FFA"/>
    <w:rsid w:val="009D7CEC"/>
    <w:rsid w:val="009E19F1"/>
    <w:rsid w:val="009E2732"/>
    <w:rsid w:val="009E2AFC"/>
    <w:rsid w:val="009E325B"/>
    <w:rsid w:val="009E397E"/>
    <w:rsid w:val="009E554D"/>
    <w:rsid w:val="009E610C"/>
    <w:rsid w:val="009E680A"/>
    <w:rsid w:val="009E6F5D"/>
    <w:rsid w:val="009E7060"/>
    <w:rsid w:val="009E7239"/>
    <w:rsid w:val="009E7D07"/>
    <w:rsid w:val="009F2F1E"/>
    <w:rsid w:val="009F4D1E"/>
    <w:rsid w:val="009F7EF3"/>
    <w:rsid w:val="00A01B67"/>
    <w:rsid w:val="00A06273"/>
    <w:rsid w:val="00A118FD"/>
    <w:rsid w:val="00A11CB9"/>
    <w:rsid w:val="00A11E45"/>
    <w:rsid w:val="00A128FD"/>
    <w:rsid w:val="00A13EBB"/>
    <w:rsid w:val="00A14EFE"/>
    <w:rsid w:val="00A1513A"/>
    <w:rsid w:val="00A15BF9"/>
    <w:rsid w:val="00A15F7D"/>
    <w:rsid w:val="00A16193"/>
    <w:rsid w:val="00A1722B"/>
    <w:rsid w:val="00A17B19"/>
    <w:rsid w:val="00A17C9C"/>
    <w:rsid w:val="00A203A2"/>
    <w:rsid w:val="00A20561"/>
    <w:rsid w:val="00A2170D"/>
    <w:rsid w:val="00A228AF"/>
    <w:rsid w:val="00A24833"/>
    <w:rsid w:val="00A2572A"/>
    <w:rsid w:val="00A25DE2"/>
    <w:rsid w:val="00A30D99"/>
    <w:rsid w:val="00A31B2C"/>
    <w:rsid w:val="00A31EC2"/>
    <w:rsid w:val="00A328FE"/>
    <w:rsid w:val="00A32B91"/>
    <w:rsid w:val="00A32D65"/>
    <w:rsid w:val="00A33C13"/>
    <w:rsid w:val="00A347AE"/>
    <w:rsid w:val="00A35825"/>
    <w:rsid w:val="00A37E68"/>
    <w:rsid w:val="00A41D7C"/>
    <w:rsid w:val="00A42F90"/>
    <w:rsid w:val="00A43F55"/>
    <w:rsid w:val="00A4412C"/>
    <w:rsid w:val="00A45469"/>
    <w:rsid w:val="00A45630"/>
    <w:rsid w:val="00A462C4"/>
    <w:rsid w:val="00A46BAD"/>
    <w:rsid w:val="00A474B0"/>
    <w:rsid w:val="00A50067"/>
    <w:rsid w:val="00A509E7"/>
    <w:rsid w:val="00A555CA"/>
    <w:rsid w:val="00A55E31"/>
    <w:rsid w:val="00A56319"/>
    <w:rsid w:val="00A56E36"/>
    <w:rsid w:val="00A571FD"/>
    <w:rsid w:val="00A619E3"/>
    <w:rsid w:val="00A62FBA"/>
    <w:rsid w:val="00A632B6"/>
    <w:rsid w:val="00A67D0F"/>
    <w:rsid w:val="00A70515"/>
    <w:rsid w:val="00A724E9"/>
    <w:rsid w:val="00A73388"/>
    <w:rsid w:val="00A735C1"/>
    <w:rsid w:val="00A76E11"/>
    <w:rsid w:val="00A77AB4"/>
    <w:rsid w:val="00A80F83"/>
    <w:rsid w:val="00A81859"/>
    <w:rsid w:val="00A82E22"/>
    <w:rsid w:val="00A83D97"/>
    <w:rsid w:val="00A85E9E"/>
    <w:rsid w:val="00A86F56"/>
    <w:rsid w:val="00A86FB1"/>
    <w:rsid w:val="00A900D3"/>
    <w:rsid w:val="00A90584"/>
    <w:rsid w:val="00A90983"/>
    <w:rsid w:val="00A92E67"/>
    <w:rsid w:val="00A93A82"/>
    <w:rsid w:val="00A94CC5"/>
    <w:rsid w:val="00AA0F27"/>
    <w:rsid w:val="00AA24E9"/>
    <w:rsid w:val="00AA6403"/>
    <w:rsid w:val="00AB0D6F"/>
    <w:rsid w:val="00AB3977"/>
    <w:rsid w:val="00AB3C8F"/>
    <w:rsid w:val="00AB517B"/>
    <w:rsid w:val="00AB56EB"/>
    <w:rsid w:val="00AB62B6"/>
    <w:rsid w:val="00AB72EE"/>
    <w:rsid w:val="00AC150B"/>
    <w:rsid w:val="00AC3BDB"/>
    <w:rsid w:val="00AC6A0F"/>
    <w:rsid w:val="00AD00B5"/>
    <w:rsid w:val="00AD0BB5"/>
    <w:rsid w:val="00AD3244"/>
    <w:rsid w:val="00AD5300"/>
    <w:rsid w:val="00AD6A01"/>
    <w:rsid w:val="00AD7F03"/>
    <w:rsid w:val="00AE261D"/>
    <w:rsid w:val="00AE35E9"/>
    <w:rsid w:val="00AE57E0"/>
    <w:rsid w:val="00AE583F"/>
    <w:rsid w:val="00AE65D9"/>
    <w:rsid w:val="00AE751F"/>
    <w:rsid w:val="00AF2852"/>
    <w:rsid w:val="00AF3CD9"/>
    <w:rsid w:val="00AF4E82"/>
    <w:rsid w:val="00AF757E"/>
    <w:rsid w:val="00AF75D1"/>
    <w:rsid w:val="00B00261"/>
    <w:rsid w:val="00B00854"/>
    <w:rsid w:val="00B02AFA"/>
    <w:rsid w:val="00B03C50"/>
    <w:rsid w:val="00B0475C"/>
    <w:rsid w:val="00B04C8D"/>
    <w:rsid w:val="00B06AE3"/>
    <w:rsid w:val="00B1058F"/>
    <w:rsid w:val="00B107DB"/>
    <w:rsid w:val="00B11299"/>
    <w:rsid w:val="00B12DED"/>
    <w:rsid w:val="00B13389"/>
    <w:rsid w:val="00B13D5F"/>
    <w:rsid w:val="00B166D5"/>
    <w:rsid w:val="00B16D57"/>
    <w:rsid w:val="00B2068A"/>
    <w:rsid w:val="00B24114"/>
    <w:rsid w:val="00B31359"/>
    <w:rsid w:val="00B313EC"/>
    <w:rsid w:val="00B34C8D"/>
    <w:rsid w:val="00B372DE"/>
    <w:rsid w:val="00B4117D"/>
    <w:rsid w:val="00B41780"/>
    <w:rsid w:val="00B42B5A"/>
    <w:rsid w:val="00B42BD2"/>
    <w:rsid w:val="00B431AC"/>
    <w:rsid w:val="00B4410D"/>
    <w:rsid w:val="00B44F7B"/>
    <w:rsid w:val="00B46746"/>
    <w:rsid w:val="00B46EB5"/>
    <w:rsid w:val="00B47E44"/>
    <w:rsid w:val="00B50E23"/>
    <w:rsid w:val="00B50FE8"/>
    <w:rsid w:val="00B51FEE"/>
    <w:rsid w:val="00B528CB"/>
    <w:rsid w:val="00B52CB1"/>
    <w:rsid w:val="00B52DE1"/>
    <w:rsid w:val="00B537FF"/>
    <w:rsid w:val="00B538E4"/>
    <w:rsid w:val="00B544E4"/>
    <w:rsid w:val="00B54D7E"/>
    <w:rsid w:val="00B6148C"/>
    <w:rsid w:val="00B6332D"/>
    <w:rsid w:val="00B651E1"/>
    <w:rsid w:val="00B65B6E"/>
    <w:rsid w:val="00B66BCD"/>
    <w:rsid w:val="00B70333"/>
    <w:rsid w:val="00B708D8"/>
    <w:rsid w:val="00B74EFF"/>
    <w:rsid w:val="00B75D81"/>
    <w:rsid w:val="00B761E8"/>
    <w:rsid w:val="00B76922"/>
    <w:rsid w:val="00B77E35"/>
    <w:rsid w:val="00B8120A"/>
    <w:rsid w:val="00B8361D"/>
    <w:rsid w:val="00B84B3B"/>
    <w:rsid w:val="00B8659D"/>
    <w:rsid w:val="00B93217"/>
    <w:rsid w:val="00B94CDB"/>
    <w:rsid w:val="00B9523E"/>
    <w:rsid w:val="00B957CF"/>
    <w:rsid w:val="00B95D2F"/>
    <w:rsid w:val="00BA1D69"/>
    <w:rsid w:val="00BA4EF5"/>
    <w:rsid w:val="00BA62A1"/>
    <w:rsid w:val="00BA691D"/>
    <w:rsid w:val="00BA75D4"/>
    <w:rsid w:val="00BB2F27"/>
    <w:rsid w:val="00BB36FE"/>
    <w:rsid w:val="00BB47CF"/>
    <w:rsid w:val="00BB4D25"/>
    <w:rsid w:val="00BB5311"/>
    <w:rsid w:val="00BB595E"/>
    <w:rsid w:val="00BB71B4"/>
    <w:rsid w:val="00BC270A"/>
    <w:rsid w:val="00BC28CB"/>
    <w:rsid w:val="00BC328F"/>
    <w:rsid w:val="00BC3841"/>
    <w:rsid w:val="00BC5C31"/>
    <w:rsid w:val="00BC5C94"/>
    <w:rsid w:val="00BC5D1F"/>
    <w:rsid w:val="00BC75BD"/>
    <w:rsid w:val="00BD017A"/>
    <w:rsid w:val="00BD04FF"/>
    <w:rsid w:val="00BD4BB6"/>
    <w:rsid w:val="00BD5200"/>
    <w:rsid w:val="00BD5EE7"/>
    <w:rsid w:val="00BD6CBE"/>
    <w:rsid w:val="00BD71DD"/>
    <w:rsid w:val="00BD7739"/>
    <w:rsid w:val="00BD7E8A"/>
    <w:rsid w:val="00BE09C7"/>
    <w:rsid w:val="00BE1B07"/>
    <w:rsid w:val="00BE1B38"/>
    <w:rsid w:val="00BE23EC"/>
    <w:rsid w:val="00BE2735"/>
    <w:rsid w:val="00BE4FB2"/>
    <w:rsid w:val="00BE4FEB"/>
    <w:rsid w:val="00BE7376"/>
    <w:rsid w:val="00BE79B2"/>
    <w:rsid w:val="00BF1005"/>
    <w:rsid w:val="00BF14C9"/>
    <w:rsid w:val="00BF2635"/>
    <w:rsid w:val="00BF2A8C"/>
    <w:rsid w:val="00BF3C18"/>
    <w:rsid w:val="00BF7DBE"/>
    <w:rsid w:val="00C032A4"/>
    <w:rsid w:val="00C0660C"/>
    <w:rsid w:val="00C06ECE"/>
    <w:rsid w:val="00C10BDF"/>
    <w:rsid w:val="00C13718"/>
    <w:rsid w:val="00C13A18"/>
    <w:rsid w:val="00C13E9A"/>
    <w:rsid w:val="00C165D4"/>
    <w:rsid w:val="00C16797"/>
    <w:rsid w:val="00C175DA"/>
    <w:rsid w:val="00C177E6"/>
    <w:rsid w:val="00C2000C"/>
    <w:rsid w:val="00C2003F"/>
    <w:rsid w:val="00C22BBC"/>
    <w:rsid w:val="00C22CBB"/>
    <w:rsid w:val="00C23824"/>
    <w:rsid w:val="00C2718E"/>
    <w:rsid w:val="00C272BE"/>
    <w:rsid w:val="00C27788"/>
    <w:rsid w:val="00C278F4"/>
    <w:rsid w:val="00C3361A"/>
    <w:rsid w:val="00C3597A"/>
    <w:rsid w:val="00C37AE6"/>
    <w:rsid w:val="00C4092A"/>
    <w:rsid w:val="00C40C92"/>
    <w:rsid w:val="00C418A0"/>
    <w:rsid w:val="00C45F64"/>
    <w:rsid w:val="00C464EB"/>
    <w:rsid w:val="00C47468"/>
    <w:rsid w:val="00C474BB"/>
    <w:rsid w:val="00C50034"/>
    <w:rsid w:val="00C50B85"/>
    <w:rsid w:val="00C5232C"/>
    <w:rsid w:val="00C54036"/>
    <w:rsid w:val="00C5407E"/>
    <w:rsid w:val="00C56573"/>
    <w:rsid w:val="00C5724B"/>
    <w:rsid w:val="00C600BB"/>
    <w:rsid w:val="00C60E4B"/>
    <w:rsid w:val="00C61C09"/>
    <w:rsid w:val="00C61ECA"/>
    <w:rsid w:val="00C634BB"/>
    <w:rsid w:val="00C635DB"/>
    <w:rsid w:val="00C653EA"/>
    <w:rsid w:val="00C65C02"/>
    <w:rsid w:val="00C66BBE"/>
    <w:rsid w:val="00C705FB"/>
    <w:rsid w:val="00C70B66"/>
    <w:rsid w:val="00C734D5"/>
    <w:rsid w:val="00C73D95"/>
    <w:rsid w:val="00C744FC"/>
    <w:rsid w:val="00C75339"/>
    <w:rsid w:val="00C754CF"/>
    <w:rsid w:val="00C803A1"/>
    <w:rsid w:val="00C80497"/>
    <w:rsid w:val="00C80F3B"/>
    <w:rsid w:val="00C81D74"/>
    <w:rsid w:val="00C823C4"/>
    <w:rsid w:val="00C82D56"/>
    <w:rsid w:val="00C835F1"/>
    <w:rsid w:val="00C83D5A"/>
    <w:rsid w:val="00C9285C"/>
    <w:rsid w:val="00C93338"/>
    <w:rsid w:val="00C93CEC"/>
    <w:rsid w:val="00C93E2F"/>
    <w:rsid w:val="00C94FEA"/>
    <w:rsid w:val="00CA08D2"/>
    <w:rsid w:val="00CA1B74"/>
    <w:rsid w:val="00CA31CD"/>
    <w:rsid w:val="00CA4818"/>
    <w:rsid w:val="00CB1B19"/>
    <w:rsid w:val="00CB4547"/>
    <w:rsid w:val="00CB4E82"/>
    <w:rsid w:val="00CB589F"/>
    <w:rsid w:val="00CB5C8C"/>
    <w:rsid w:val="00CB737C"/>
    <w:rsid w:val="00CC25DC"/>
    <w:rsid w:val="00CC2B3E"/>
    <w:rsid w:val="00CC4A33"/>
    <w:rsid w:val="00CC67BB"/>
    <w:rsid w:val="00CC6CD9"/>
    <w:rsid w:val="00CC7084"/>
    <w:rsid w:val="00CD28D5"/>
    <w:rsid w:val="00CD693F"/>
    <w:rsid w:val="00CD79DA"/>
    <w:rsid w:val="00CE10A8"/>
    <w:rsid w:val="00CE10F5"/>
    <w:rsid w:val="00CE1770"/>
    <w:rsid w:val="00CE19A2"/>
    <w:rsid w:val="00CE3BDA"/>
    <w:rsid w:val="00CE503B"/>
    <w:rsid w:val="00CE7656"/>
    <w:rsid w:val="00CF12FF"/>
    <w:rsid w:val="00CF23E2"/>
    <w:rsid w:val="00CF453B"/>
    <w:rsid w:val="00CF555A"/>
    <w:rsid w:val="00CF638D"/>
    <w:rsid w:val="00CF6934"/>
    <w:rsid w:val="00CF7F27"/>
    <w:rsid w:val="00D00E35"/>
    <w:rsid w:val="00D026B9"/>
    <w:rsid w:val="00D078DD"/>
    <w:rsid w:val="00D10370"/>
    <w:rsid w:val="00D11078"/>
    <w:rsid w:val="00D12253"/>
    <w:rsid w:val="00D12F49"/>
    <w:rsid w:val="00D136FF"/>
    <w:rsid w:val="00D14C8D"/>
    <w:rsid w:val="00D1670F"/>
    <w:rsid w:val="00D17889"/>
    <w:rsid w:val="00D17FA2"/>
    <w:rsid w:val="00D205E4"/>
    <w:rsid w:val="00D213A2"/>
    <w:rsid w:val="00D21614"/>
    <w:rsid w:val="00D23A63"/>
    <w:rsid w:val="00D30112"/>
    <w:rsid w:val="00D30960"/>
    <w:rsid w:val="00D324F9"/>
    <w:rsid w:val="00D32A50"/>
    <w:rsid w:val="00D32EA5"/>
    <w:rsid w:val="00D3451F"/>
    <w:rsid w:val="00D34553"/>
    <w:rsid w:val="00D35060"/>
    <w:rsid w:val="00D35213"/>
    <w:rsid w:val="00D366D2"/>
    <w:rsid w:val="00D37914"/>
    <w:rsid w:val="00D4008E"/>
    <w:rsid w:val="00D42D0C"/>
    <w:rsid w:val="00D44A44"/>
    <w:rsid w:val="00D46793"/>
    <w:rsid w:val="00D479CA"/>
    <w:rsid w:val="00D505EB"/>
    <w:rsid w:val="00D50812"/>
    <w:rsid w:val="00D50925"/>
    <w:rsid w:val="00D50E77"/>
    <w:rsid w:val="00D56DA6"/>
    <w:rsid w:val="00D5761F"/>
    <w:rsid w:val="00D60130"/>
    <w:rsid w:val="00D604DB"/>
    <w:rsid w:val="00D6277E"/>
    <w:rsid w:val="00D63FEA"/>
    <w:rsid w:val="00D662EA"/>
    <w:rsid w:val="00D6675D"/>
    <w:rsid w:val="00D67346"/>
    <w:rsid w:val="00D7222C"/>
    <w:rsid w:val="00D729B6"/>
    <w:rsid w:val="00D755FD"/>
    <w:rsid w:val="00D76952"/>
    <w:rsid w:val="00D76D67"/>
    <w:rsid w:val="00D80562"/>
    <w:rsid w:val="00D84464"/>
    <w:rsid w:val="00D85A6E"/>
    <w:rsid w:val="00D85D8D"/>
    <w:rsid w:val="00D87E03"/>
    <w:rsid w:val="00D9033A"/>
    <w:rsid w:val="00D90B8A"/>
    <w:rsid w:val="00D9108C"/>
    <w:rsid w:val="00D9222A"/>
    <w:rsid w:val="00D960D5"/>
    <w:rsid w:val="00D96B8D"/>
    <w:rsid w:val="00D979C5"/>
    <w:rsid w:val="00DA09B1"/>
    <w:rsid w:val="00DA0F19"/>
    <w:rsid w:val="00DA17CC"/>
    <w:rsid w:val="00DA1D91"/>
    <w:rsid w:val="00DA6622"/>
    <w:rsid w:val="00DA6903"/>
    <w:rsid w:val="00DA733B"/>
    <w:rsid w:val="00DA74B4"/>
    <w:rsid w:val="00DB0DFD"/>
    <w:rsid w:val="00DB134C"/>
    <w:rsid w:val="00DB23E0"/>
    <w:rsid w:val="00DB3C0D"/>
    <w:rsid w:val="00DB3E3A"/>
    <w:rsid w:val="00DB6D2A"/>
    <w:rsid w:val="00DB7736"/>
    <w:rsid w:val="00DB78C7"/>
    <w:rsid w:val="00DC0157"/>
    <w:rsid w:val="00DC1265"/>
    <w:rsid w:val="00DC1267"/>
    <w:rsid w:val="00DC2414"/>
    <w:rsid w:val="00DC2EDC"/>
    <w:rsid w:val="00DC6EBC"/>
    <w:rsid w:val="00DD0100"/>
    <w:rsid w:val="00DD4694"/>
    <w:rsid w:val="00DD5582"/>
    <w:rsid w:val="00DE2A8B"/>
    <w:rsid w:val="00DE4503"/>
    <w:rsid w:val="00DE48EA"/>
    <w:rsid w:val="00DE6C27"/>
    <w:rsid w:val="00DE714C"/>
    <w:rsid w:val="00DE7AC3"/>
    <w:rsid w:val="00DF26C2"/>
    <w:rsid w:val="00DF36C7"/>
    <w:rsid w:val="00DF3D7B"/>
    <w:rsid w:val="00DF4E03"/>
    <w:rsid w:val="00DF6FCB"/>
    <w:rsid w:val="00E02790"/>
    <w:rsid w:val="00E0299F"/>
    <w:rsid w:val="00E0347B"/>
    <w:rsid w:val="00E03DF9"/>
    <w:rsid w:val="00E0476B"/>
    <w:rsid w:val="00E05C1B"/>
    <w:rsid w:val="00E07E0D"/>
    <w:rsid w:val="00E112AB"/>
    <w:rsid w:val="00E12FD1"/>
    <w:rsid w:val="00E13198"/>
    <w:rsid w:val="00E1452F"/>
    <w:rsid w:val="00E14F4A"/>
    <w:rsid w:val="00E154E0"/>
    <w:rsid w:val="00E158B4"/>
    <w:rsid w:val="00E1614D"/>
    <w:rsid w:val="00E17589"/>
    <w:rsid w:val="00E17CEB"/>
    <w:rsid w:val="00E21716"/>
    <w:rsid w:val="00E220E1"/>
    <w:rsid w:val="00E2222D"/>
    <w:rsid w:val="00E2245E"/>
    <w:rsid w:val="00E230BA"/>
    <w:rsid w:val="00E232D4"/>
    <w:rsid w:val="00E2332A"/>
    <w:rsid w:val="00E25BE4"/>
    <w:rsid w:val="00E25F6C"/>
    <w:rsid w:val="00E261E8"/>
    <w:rsid w:val="00E27EA2"/>
    <w:rsid w:val="00E33792"/>
    <w:rsid w:val="00E33986"/>
    <w:rsid w:val="00E343E8"/>
    <w:rsid w:val="00E34C5A"/>
    <w:rsid w:val="00E34DC7"/>
    <w:rsid w:val="00E35EF2"/>
    <w:rsid w:val="00E41209"/>
    <w:rsid w:val="00E43059"/>
    <w:rsid w:val="00E44B64"/>
    <w:rsid w:val="00E45534"/>
    <w:rsid w:val="00E46B57"/>
    <w:rsid w:val="00E474CE"/>
    <w:rsid w:val="00E47DE9"/>
    <w:rsid w:val="00E50341"/>
    <w:rsid w:val="00E53BEC"/>
    <w:rsid w:val="00E54354"/>
    <w:rsid w:val="00E54ACB"/>
    <w:rsid w:val="00E54CB0"/>
    <w:rsid w:val="00E555FE"/>
    <w:rsid w:val="00E600D4"/>
    <w:rsid w:val="00E600F9"/>
    <w:rsid w:val="00E61149"/>
    <w:rsid w:val="00E63DD0"/>
    <w:rsid w:val="00E65F25"/>
    <w:rsid w:val="00E66D9B"/>
    <w:rsid w:val="00E679A3"/>
    <w:rsid w:val="00E7161B"/>
    <w:rsid w:val="00E721C0"/>
    <w:rsid w:val="00E742CF"/>
    <w:rsid w:val="00E747F5"/>
    <w:rsid w:val="00E74B73"/>
    <w:rsid w:val="00E75989"/>
    <w:rsid w:val="00E77C72"/>
    <w:rsid w:val="00E813C9"/>
    <w:rsid w:val="00E81E1C"/>
    <w:rsid w:val="00E83516"/>
    <w:rsid w:val="00E835E9"/>
    <w:rsid w:val="00E84099"/>
    <w:rsid w:val="00E84451"/>
    <w:rsid w:val="00E857FE"/>
    <w:rsid w:val="00E865C2"/>
    <w:rsid w:val="00E871D8"/>
    <w:rsid w:val="00E87260"/>
    <w:rsid w:val="00E87982"/>
    <w:rsid w:val="00E87D2D"/>
    <w:rsid w:val="00E90AC2"/>
    <w:rsid w:val="00E90B40"/>
    <w:rsid w:val="00E90EF4"/>
    <w:rsid w:val="00E927C6"/>
    <w:rsid w:val="00E931F5"/>
    <w:rsid w:val="00E94FE4"/>
    <w:rsid w:val="00E96F0A"/>
    <w:rsid w:val="00E970F8"/>
    <w:rsid w:val="00E97DEC"/>
    <w:rsid w:val="00EA0DE3"/>
    <w:rsid w:val="00EA2633"/>
    <w:rsid w:val="00EA40E8"/>
    <w:rsid w:val="00EA4598"/>
    <w:rsid w:val="00EA4F2C"/>
    <w:rsid w:val="00EA589B"/>
    <w:rsid w:val="00EA6B80"/>
    <w:rsid w:val="00EA76DB"/>
    <w:rsid w:val="00EB3B78"/>
    <w:rsid w:val="00EB3C47"/>
    <w:rsid w:val="00EB4729"/>
    <w:rsid w:val="00EB7D2E"/>
    <w:rsid w:val="00EC0337"/>
    <w:rsid w:val="00EC0D52"/>
    <w:rsid w:val="00EC175C"/>
    <w:rsid w:val="00EC28C5"/>
    <w:rsid w:val="00EC3282"/>
    <w:rsid w:val="00EC3786"/>
    <w:rsid w:val="00EC3D87"/>
    <w:rsid w:val="00EC3E12"/>
    <w:rsid w:val="00EC4174"/>
    <w:rsid w:val="00EC7CB1"/>
    <w:rsid w:val="00ED1856"/>
    <w:rsid w:val="00ED4966"/>
    <w:rsid w:val="00ED4A94"/>
    <w:rsid w:val="00ED6357"/>
    <w:rsid w:val="00ED7AEA"/>
    <w:rsid w:val="00EE1876"/>
    <w:rsid w:val="00EE2CEC"/>
    <w:rsid w:val="00EE471E"/>
    <w:rsid w:val="00EE4AA6"/>
    <w:rsid w:val="00EE4AFC"/>
    <w:rsid w:val="00EE629C"/>
    <w:rsid w:val="00EE6A18"/>
    <w:rsid w:val="00EE6E06"/>
    <w:rsid w:val="00EE7D06"/>
    <w:rsid w:val="00EF0987"/>
    <w:rsid w:val="00EF27D9"/>
    <w:rsid w:val="00EF3389"/>
    <w:rsid w:val="00EF3CDA"/>
    <w:rsid w:val="00EF4BF5"/>
    <w:rsid w:val="00EF4D23"/>
    <w:rsid w:val="00EF6BA0"/>
    <w:rsid w:val="00F00B79"/>
    <w:rsid w:val="00F014EC"/>
    <w:rsid w:val="00F0255C"/>
    <w:rsid w:val="00F05F24"/>
    <w:rsid w:val="00F11E82"/>
    <w:rsid w:val="00F12652"/>
    <w:rsid w:val="00F12D73"/>
    <w:rsid w:val="00F13EFE"/>
    <w:rsid w:val="00F15A7B"/>
    <w:rsid w:val="00F175C3"/>
    <w:rsid w:val="00F21146"/>
    <w:rsid w:val="00F22E56"/>
    <w:rsid w:val="00F251FC"/>
    <w:rsid w:val="00F25730"/>
    <w:rsid w:val="00F3272B"/>
    <w:rsid w:val="00F32D13"/>
    <w:rsid w:val="00F34034"/>
    <w:rsid w:val="00F34E9D"/>
    <w:rsid w:val="00F372EF"/>
    <w:rsid w:val="00F425C2"/>
    <w:rsid w:val="00F43137"/>
    <w:rsid w:val="00F43401"/>
    <w:rsid w:val="00F44353"/>
    <w:rsid w:val="00F4731B"/>
    <w:rsid w:val="00F47443"/>
    <w:rsid w:val="00F51265"/>
    <w:rsid w:val="00F51C24"/>
    <w:rsid w:val="00F53EED"/>
    <w:rsid w:val="00F55C9E"/>
    <w:rsid w:val="00F5729E"/>
    <w:rsid w:val="00F62AB0"/>
    <w:rsid w:val="00F6396F"/>
    <w:rsid w:val="00F653A8"/>
    <w:rsid w:val="00F662C4"/>
    <w:rsid w:val="00F67544"/>
    <w:rsid w:val="00F67C61"/>
    <w:rsid w:val="00F701D8"/>
    <w:rsid w:val="00F7067C"/>
    <w:rsid w:val="00F70D69"/>
    <w:rsid w:val="00F71802"/>
    <w:rsid w:val="00F734B6"/>
    <w:rsid w:val="00F73BF3"/>
    <w:rsid w:val="00F73C3C"/>
    <w:rsid w:val="00F73E41"/>
    <w:rsid w:val="00F74659"/>
    <w:rsid w:val="00F74DDD"/>
    <w:rsid w:val="00F7508C"/>
    <w:rsid w:val="00F774FE"/>
    <w:rsid w:val="00F77BC1"/>
    <w:rsid w:val="00F80A7B"/>
    <w:rsid w:val="00F837D6"/>
    <w:rsid w:val="00F844CF"/>
    <w:rsid w:val="00F84BED"/>
    <w:rsid w:val="00F84FB2"/>
    <w:rsid w:val="00F86DBF"/>
    <w:rsid w:val="00F902D9"/>
    <w:rsid w:val="00F91E88"/>
    <w:rsid w:val="00F939E8"/>
    <w:rsid w:val="00F962C1"/>
    <w:rsid w:val="00FA4CFB"/>
    <w:rsid w:val="00FA6C50"/>
    <w:rsid w:val="00FA6E6F"/>
    <w:rsid w:val="00FB0AB6"/>
    <w:rsid w:val="00FB1690"/>
    <w:rsid w:val="00FB489F"/>
    <w:rsid w:val="00FB50D1"/>
    <w:rsid w:val="00FB517B"/>
    <w:rsid w:val="00FB52C6"/>
    <w:rsid w:val="00FB77FF"/>
    <w:rsid w:val="00FC08C3"/>
    <w:rsid w:val="00FC1EC3"/>
    <w:rsid w:val="00FC78C1"/>
    <w:rsid w:val="00FD0B9B"/>
    <w:rsid w:val="00FD1453"/>
    <w:rsid w:val="00FD1F40"/>
    <w:rsid w:val="00FD2524"/>
    <w:rsid w:val="00FD34E2"/>
    <w:rsid w:val="00FD5406"/>
    <w:rsid w:val="00FD5BFD"/>
    <w:rsid w:val="00FD6B52"/>
    <w:rsid w:val="00FD6F96"/>
    <w:rsid w:val="00FD7647"/>
    <w:rsid w:val="00FE030C"/>
    <w:rsid w:val="00FE31C9"/>
    <w:rsid w:val="00FE5FA3"/>
    <w:rsid w:val="00FE7D37"/>
    <w:rsid w:val="00FF0214"/>
    <w:rsid w:val="00FF0BD1"/>
    <w:rsid w:val="00FF0F30"/>
    <w:rsid w:val="00FF1CD8"/>
    <w:rsid w:val="00FF4FAC"/>
    <w:rsid w:val="00FF7639"/>
    <w:rsid w:val="01022F84"/>
    <w:rsid w:val="010A79CD"/>
    <w:rsid w:val="01115B19"/>
    <w:rsid w:val="01167F7D"/>
    <w:rsid w:val="01233A9E"/>
    <w:rsid w:val="01277FD4"/>
    <w:rsid w:val="012C34B7"/>
    <w:rsid w:val="0136518B"/>
    <w:rsid w:val="01472C04"/>
    <w:rsid w:val="0163340B"/>
    <w:rsid w:val="01927FC6"/>
    <w:rsid w:val="01940A17"/>
    <w:rsid w:val="019450FA"/>
    <w:rsid w:val="01991C4C"/>
    <w:rsid w:val="01A37B56"/>
    <w:rsid w:val="01CF66BA"/>
    <w:rsid w:val="01D227E9"/>
    <w:rsid w:val="01D51CEF"/>
    <w:rsid w:val="01DF149B"/>
    <w:rsid w:val="01E07FB3"/>
    <w:rsid w:val="01E274B5"/>
    <w:rsid w:val="01E54191"/>
    <w:rsid w:val="01EA3F2D"/>
    <w:rsid w:val="01F013C1"/>
    <w:rsid w:val="01F568EE"/>
    <w:rsid w:val="01F677A7"/>
    <w:rsid w:val="01FE5971"/>
    <w:rsid w:val="02023F4B"/>
    <w:rsid w:val="020D3724"/>
    <w:rsid w:val="02117558"/>
    <w:rsid w:val="02160608"/>
    <w:rsid w:val="021805A0"/>
    <w:rsid w:val="021826DA"/>
    <w:rsid w:val="0234328A"/>
    <w:rsid w:val="024737BC"/>
    <w:rsid w:val="024A4B13"/>
    <w:rsid w:val="024B0EA1"/>
    <w:rsid w:val="024C492F"/>
    <w:rsid w:val="024E20A3"/>
    <w:rsid w:val="02503F29"/>
    <w:rsid w:val="025817C9"/>
    <w:rsid w:val="02751BF5"/>
    <w:rsid w:val="027B0375"/>
    <w:rsid w:val="027B5F7F"/>
    <w:rsid w:val="0284056C"/>
    <w:rsid w:val="029213A5"/>
    <w:rsid w:val="02955AF6"/>
    <w:rsid w:val="02A1631F"/>
    <w:rsid w:val="02A53D13"/>
    <w:rsid w:val="02A66735"/>
    <w:rsid w:val="02B50098"/>
    <w:rsid w:val="02B76EA0"/>
    <w:rsid w:val="02CB1CF7"/>
    <w:rsid w:val="02E1776D"/>
    <w:rsid w:val="02F96864"/>
    <w:rsid w:val="030C6E5A"/>
    <w:rsid w:val="03153BB5"/>
    <w:rsid w:val="03172975"/>
    <w:rsid w:val="032E299E"/>
    <w:rsid w:val="03477A8E"/>
    <w:rsid w:val="03550A4B"/>
    <w:rsid w:val="035703B8"/>
    <w:rsid w:val="03591C06"/>
    <w:rsid w:val="035E4CED"/>
    <w:rsid w:val="036F4ACF"/>
    <w:rsid w:val="037567E0"/>
    <w:rsid w:val="03786668"/>
    <w:rsid w:val="03870314"/>
    <w:rsid w:val="0397607D"/>
    <w:rsid w:val="039B3DC0"/>
    <w:rsid w:val="03A92761"/>
    <w:rsid w:val="03AE1559"/>
    <w:rsid w:val="03C055D4"/>
    <w:rsid w:val="03C427E7"/>
    <w:rsid w:val="03DF20E6"/>
    <w:rsid w:val="03E84AD5"/>
    <w:rsid w:val="03EA75CC"/>
    <w:rsid w:val="03FB485E"/>
    <w:rsid w:val="03FC7FF0"/>
    <w:rsid w:val="03FD436B"/>
    <w:rsid w:val="041365C4"/>
    <w:rsid w:val="04172478"/>
    <w:rsid w:val="04182BE0"/>
    <w:rsid w:val="042E24FA"/>
    <w:rsid w:val="04337931"/>
    <w:rsid w:val="043A35D9"/>
    <w:rsid w:val="04455CBC"/>
    <w:rsid w:val="045030BD"/>
    <w:rsid w:val="045253A0"/>
    <w:rsid w:val="0456591D"/>
    <w:rsid w:val="046046D6"/>
    <w:rsid w:val="047C599F"/>
    <w:rsid w:val="047F4146"/>
    <w:rsid w:val="04864599"/>
    <w:rsid w:val="049158F0"/>
    <w:rsid w:val="049F343C"/>
    <w:rsid w:val="049F3A8D"/>
    <w:rsid w:val="04A60661"/>
    <w:rsid w:val="04AE3779"/>
    <w:rsid w:val="04AE464C"/>
    <w:rsid w:val="04C335CE"/>
    <w:rsid w:val="04CD6D06"/>
    <w:rsid w:val="04DC4690"/>
    <w:rsid w:val="04E83035"/>
    <w:rsid w:val="05025D14"/>
    <w:rsid w:val="050442C2"/>
    <w:rsid w:val="05065269"/>
    <w:rsid w:val="0507507E"/>
    <w:rsid w:val="05145A0C"/>
    <w:rsid w:val="052370D3"/>
    <w:rsid w:val="05273155"/>
    <w:rsid w:val="05362661"/>
    <w:rsid w:val="053775DF"/>
    <w:rsid w:val="053814B3"/>
    <w:rsid w:val="054377AC"/>
    <w:rsid w:val="055E50A5"/>
    <w:rsid w:val="05600E1D"/>
    <w:rsid w:val="05753A6C"/>
    <w:rsid w:val="05796D93"/>
    <w:rsid w:val="057A4A23"/>
    <w:rsid w:val="05820786"/>
    <w:rsid w:val="05830037"/>
    <w:rsid w:val="05854CE9"/>
    <w:rsid w:val="05A23AEA"/>
    <w:rsid w:val="05A32D8D"/>
    <w:rsid w:val="05A607FA"/>
    <w:rsid w:val="05B20F4D"/>
    <w:rsid w:val="05DB3FDB"/>
    <w:rsid w:val="05E774E6"/>
    <w:rsid w:val="05F477B7"/>
    <w:rsid w:val="05FB0B46"/>
    <w:rsid w:val="05FC1F0A"/>
    <w:rsid w:val="06025659"/>
    <w:rsid w:val="060856F4"/>
    <w:rsid w:val="06110369"/>
    <w:rsid w:val="06147E59"/>
    <w:rsid w:val="06191684"/>
    <w:rsid w:val="061D0ABC"/>
    <w:rsid w:val="062067FE"/>
    <w:rsid w:val="062B6E9A"/>
    <w:rsid w:val="062F2FDC"/>
    <w:rsid w:val="06302974"/>
    <w:rsid w:val="063B7CCA"/>
    <w:rsid w:val="063D2F0C"/>
    <w:rsid w:val="063E50AD"/>
    <w:rsid w:val="064249C6"/>
    <w:rsid w:val="06555537"/>
    <w:rsid w:val="065869FD"/>
    <w:rsid w:val="065B0CF6"/>
    <w:rsid w:val="06606BFB"/>
    <w:rsid w:val="06624721"/>
    <w:rsid w:val="066801DD"/>
    <w:rsid w:val="067A04CA"/>
    <w:rsid w:val="067F3525"/>
    <w:rsid w:val="068230B2"/>
    <w:rsid w:val="06867DFC"/>
    <w:rsid w:val="06915006"/>
    <w:rsid w:val="06947999"/>
    <w:rsid w:val="06952D48"/>
    <w:rsid w:val="069D785C"/>
    <w:rsid w:val="06A34A08"/>
    <w:rsid w:val="06B7213F"/>
    <w:rsid w:val="06BA5030"/>
    <w:rsid w:val="06C7630B"/>
    <w:rsid w:val="06CB676A"/>
    <w:rsid w:val="06CC1EAC"/>
    <w:rsid w:val="06EB0BBA"/>
    <w:rsid w:val="071B32B6"/>
    <w:rsid w:val="07267541"/>
    <w:rsid w:val="072B545A"/>
    <w:rsid w:val="07310263"/>
    <w:rsid w:val="0743707D"/>
    <w:rsid w:val="074C325F"/>
    <w:rsid w:val="074E2EF7"/>
    <w:rsid w:val="075129C0"/>
    <w:rsid w:val="075958CC"/>
    <w:rsid w:val="075F3ED9"/>
    <w:rsid w:val="07660241"/>
    <w:rsid w:val="076B3AA9"/>
    <w:rsid w:val="07767EF0"/>
    <w:rsid w:val="077C7D1E"/>
    <w:rsid w:val="07822CFC"/>
    <w:rsid w:val="07A128D4"/>
    <w:rsid w:val="07A1396F"/>
    <w:rsid w:val="07A953B1"/>
    <w:rsid w:val="07C25320"/>
    <w:rsid w:val="07CE1789"/>
    <w:rsid w:val="07DD7326"/>
    <w:rsid w:val="07F32AD5"/>
    <w:rsid w:val="0800140A"/>
    <w:rsid w:val="080D0674"/>
    <w:rsid w:val="080E5162"/>
    <w:rsid w:val="082425D6"/>
    <w:rsid w:val="08254FB4"/>
    <w:rsid w:val="082751D4"/>
    <w:rsid w:val="0828199A"/>
    <w:rsid w:val="08371AF0"/>
    <w:rsid w:val="083E11BD"/>
    <w:rsid w:val="08430582"/>
    <w:rsid w:val="08512C9F"/>
    <w:rsid w:val="08517028"/>
    <w:rsid w:val="08573297"/>
    <w:rsid w:val="08640C24"/>
    <w:rsid w:val="08644C05"/>
    <w:rsid w:val="086E4922"/>
    <w:rsid w:val="08821A3A"/>
    <w:rsid w:val="08852292"/>
    <w:rsid w:val="088E7A4F"/>
    <w:rsid w:val="0895702F"/>
    <w:rsid w:val="089F7EAE"/>
    <w:rsid w:val="08B80F70"/>
    <w:rsid w:val="08C16076"/>
    <w:rsid w:val="08C95E10"/>
    <w:rsid w:val="08D2511C"/>
    <w:rsid w:val="08D768B3"/>
    <w:rsid w:val="08DC2B16"/>
    <w:rsid w:val="08E06BFE"/>
    <w:rsid w:val="08EA1120"/>
    <w:rsid w:val="08FD1DEA"/>
    <w:rsid w:val="08FD31A9"/>
    <w:rsid w:val="091B682D"/>
    <w:rsid w:val="09206DDD"/>
    <w:rsid w:val="09212671"/>
    <w:rsid w:val="0926412B"/>
    <w:rsid w:val="09364775"/>
    <w:rsid w:val="094A557B"/>
    <w:rsid w:val="09672AD3"/>
    <w:rsid w:val="096C40EB"/>
    <w:rsid w:val="096E75D6"/>
    <w:rsid w:val="097B395C"/>
    <w:rsid w:val="098904FD"/>
    <w:rsid w:val="09C33728"/>
    <w:rsid w:val="09C70C60"/>
    <w:rsid w:val="09D370FD"/>
    <w:rsid w:val="09D674F6"/>
    <w:rsid w:val="09EA11A2"/>
    <w:rsid w:val="09EC032D"/>
    <w:rsid w:val="0A0B22A6"/>
    <w:rsid w:val="0A0D3EBF"/>
    <w:rsid w:val="0A1B2AFF"/>
    <w:rsid w:val="0A1D552E"/>
    <w:rsid w:val="0A211B30"/>
    <w:rsid w:val="0A21573F"/>
    <w:rsid w:val="0A261B64"/>
    <w:rsid w:val="0A2C447B"/>
    <w:rsid w:val="0A3B7763"/>
    <w:rsid w:val="0A3D7FAC"/>
    <w:rsid w:val="0A430D0D"/>
    <w:rsid w:val="0A6007AB"/>
    <w:rsid w:val="0A693506"/>
    <w:rsid w:val="0A69398C"/>
    <w:rsid w:val="0A7113D6"/>
    <w:rsid w:val="0A792992"/>
    <w:rsid w:val="0A7E6F9F"/>
    <w:rsid w:val="0A8F5D00"/>
    <w:rsid w:val="0A946A55"/>
    <w:rsid w:val="0A960E3D"/>
    <w:rsid w:val="0A963AAE"/>
    <w:rsid w:val="0A9D4330"/>
    <w:rsid w:val="0AAC240E"/>
    <w:rsid w:val="0AB75863"/>
    <w:rsid w:val="0ACB31DC"/>
    <w:rsid w:val="0ACE0286"/>
    <w:rsid w:val="0AD4536C"/>
    <w:rsid w:val="0ADB6EF4"/>
    <w:rsid w:val="0AE36ECE"/>
    <w:rsid w:val="0AF60B31"/>
    <w:rsid w:val="0AF96715"/>
    <w:rsid w:val="0AFC77D6"/>
    <w:rsid w:val="0B09418A"/>
    <w:rsid w:val="0B1A19B4"/>
    <w:rsid w:val="0B1C0DFA"/>
    <w:rsid w:val="0B217FC5"/>
    <w:rsid w:val="0B224DC6"/>
    <w:rsid w:val="0B2F5832"/>
    <w:rsid w:val="0B33619E"/>
    <w:rsid w:val="0B3E67C2"/>
    <w:rsid w:val="0B41524D"/>
    <w:rsid w:val="0B45421B"/>
    <w:rsid w:val="0B5605CC"/>
    <w:rsid w:val="0B5B3783"/>
    <w:rsid w:val="0B5C708E"/>
    <w:rsid w:val="0B622A02"/>
    <w:rsid w:val="0B674CBC"/>
    <w:rsid w:val="0B6C50CB"/>
    <w:rsid w:val="0B6D1AC3"/>
    <w:rsid w:val="0B6E19A7"/>
    <w:rsid w:val="0B7B0B24"/>
    <w:rsid w:val="0B8475F4"/>
    <w:rsid w:val="0B920E35"/>
    <w:rsid w:val="0B9A6BA7"/>
    <w:rsid w:val="0BA23811"/>
    <w:rsid w:val="0BBC0D77"/>
    <w:rsid w:val="0BC10245"/>
    <w:rsid w:val="0BED2CDE"/>
    <w:rsid w:val="0BF56E60"/>
    <w:rsid w:val="0C0539DD"/>
    <w:rsid w:val="0C100447"/>
    <w:rsid w:val="0C112AE3"/>
    <w:rsid w:val="0C2649DF"/>
    <w:rsid w:val="0C2E6944"/>
    <w:rsid w:val="0C3D30AA"/>
    <w:rsid w:val="0C486239"/>
    <w:rsid w:val="0C6236CC"/>
    <w:rsid w:val="0C77337C"/>
    <w:rsid w:val="0C82288B"/>
    <w:rsid w:val="0C9B7F52"/>
    <w:rsid w:val="0CA30FB8"/>
    <w:rsid w:val="0CC43318"/>
    <w:rsid w:val="0CCC0710"/>
    <w:rsid w:val="0CE143B2"/>
    <w:rsid w:val="0CF04ACE"/>
    <w:rsid w:val="0D04428B"/>
    <w:rsid w:val="0D0A343A"/>
    <w:rsid w:val="0D191630"/>
    <w:rsid w:val="0D305D1E"/>
    <w:rsid w:val="0D3875BE"/>
    <w:rsid w:val="0D637D73"/>
    <w:rsid w:val="0D7C4200"/>
    <w:rsid w:val="0D863B28"/>
    <w:rsid w:val="0D960D3E"/>
    <w:rsid w:val="0DA254C0"/>
    <w:rsid w:val="0DA837B8"/>
    <w:rsid w:val="0DB55A7E"/>
    <w:rsid w:val="0DBF4B4E"/>
    <w:rsid w:val="0DCE08EE"/>
    <w:rsid w:val="0DCE4BD6"/>
    <w:rsid w:val="0DFF5C3B"/>
    <w:rsid w:val="0E081147"/>
    <w:rsid w:val="0E102753"/>
    <w:rsid w:val="0E296834"/>
    <w:rsid w:val="0E296B13"/>
    <w:rsid w:val="0E3C2671"/>
    <w:rsid w:val="0E467795"/>
    <w:rsid w:val="0E493BE2"/>
    <w:rsid w:val="0E5139F9"/>
    <w:rsid w:val="0E567261"/>
    <w:rsid w:val="0E6F3E7F"/>
    <w:rsid w:val="0E807E3A"/>
    <w:rsid w:val="0E887F44"/>
    <w:rsid w:val="0E894549"/>
    <w:rsid w:val="0E927E61"/>
    <w:rsid w:val="0E971CEC"/>
    <w:rsid w:val="0EA72B92"/>
    <w:rsid w:val="0EAD7E75"/>
    <w:rsid w:val="0EB16A5D"/>
    <w:rsid w:val="0EC71F0D"/>
    <w:rsid w:val="0EC97C3C"/>
    <w:rsid w:val="0EE20AF5"/>
    <w:rsid w:val="0EE7435D"/>
    <w:rsid w:val="0EF20FBD"/>
    <w:rsid w:val="0EFC6BE3"/>
    <w:rsid w:val="0F114F36"/>
    <w:rsid w:val="0F142919"/>
    <w:rsid w:val="0F1B4006"/>
    <w:rsid w:val="0F1C245B"/>
    <w:rsid w:val="0F1E76CC"/>
    <w:rsid w:val="0F235324"/>
    <w:rsid w:val="0F3927D6"/>
    <w:rsid w:val="0F455900"/>
    <w:rsid w:val="0F4E1581"/>
    <w:rsid w:val="0F597A04"/>
    <w:rsid w:val="0F5A38D7"/>
    <w:rsid w:val="0F611DE9"/>
    <w:rsid w:val="0F6255B7"/>
    <w:rsid w:val="0F625791"/>
    <w:rsid w:val="0F8847C7"/>
    <w:rsid w:val="0F9A589C"/>
    <w:rsid w:val="0F9B7951"/>
    <w:rsid w:val="0FA609CC"/>
    <w:rsid w:val="0FAC3659"/>
    <w:rsid w:val="0FC77ADA"/>
    <w:rsid w:val="0FF44180"/>
    <w:rsid w:val="0FF7237E"/>
    <w:rsid w:val="0FF860F6"/>
    <w:rsid w:val="0FFA1E6E"/>
    <w:rsid w:val="0FFC1427"/>
    <w:rsid w:val="10142F30"/>
    <w:rsid w:val="101A14F8"/>
    <w:rsid w:val="10336795"/>
    <w:rsid w:val="103D0BA2"/>
    <w:rsid w:val="103F5C65"/>
    <w:rsid w:val="10414F72"/>
    <w:rsid w:val="104C1361"/>
    <w:rsid w:val="10556DBB"/>
    <w:rsid w:val="105C0433"/>
    <w:rsid w:val="105C33D3"/>
    <w:rsid w:val="1067038F"/>
    <w:rsid w:val="106F63B8"/>
    <w:rsid w:val="10817E99"/>
    <w:rsid w:val="10953945"/>
    <w:rsid w:val="109951E3"/>
    <w:rsid w:val="10A5614F"/>
    <w:rsid w:val="10B91E62"/>
    <w:rsid w:val="10BE1BE7"/>
    <w:rsid w:val="10D31FAC"/>
    <w:rsid w:val="10DD253A"/>
    <w:rsid w:val="10DD419A"/>
    <w:rsid w:val="10E16EA2"/>
    <w:rsid w:val="10F93234"/>
    <w:rsid w:val="10FA431D"/>
    <w:rsid w:val="10FC6398"/>
    <w:rsid w:val="11003900"/>
    <w:rsid w:val="11061FCD"/>
    <w:rsid w:val="110B7891"/>
    <w:rsid w:val="110C00AB"/>
    <w:rsid w:val="111C3A3A"/>
    <w:rsid w:val="111D1A3C"/>
    <w:rsid w:val="111D7BC2"/>
    <w:rsid w:val="11287AF5"/>
    <w:rsid w:val="112D6274"/>
    <w:rsid w:val="1130093A"/>
    <w:rsid w:val="1135295E"/>
    <w:rsid w:val="113E3FDC"/>
    <w:rsid w:val="11543643"/>
    <w:rsid w:val="1155330E"/>
    <w:rsid w:val="115B4B8E"/>
    <w:rsid w:val="116D6B65"/>
    <w:rsid w:val="117143B2"/>
    <w:rsid w:val="1178642B"/>
    <w:rsid w:val="117F533D"/>
    <w:rsid w:val="11813B96"/>
    <w:rsid w:val="118A31F7"/>
    <w:rsid w:val="118E1F67"/>
    <w:rsid w:val="119074D8"/>
    <w:rsid w:val="1194344E"/>
    <w:rsid w:val="11C412E0"/>
    <w:rsid w:val="11D23F92"/>
    <w:rsid w:val="11D86EAE"/>
    <w:rsid w:val="11E22BBA"/>
    <w:rsid w:val="11E74565"/>
    <w:rsid w:val="11E9616D"/>
    <w:rsid w:val="11EB41F5"/>
    <w:rsid w:val="11EE77B0"/>
    <w:rsid w:val="11EF60BB"/>
    <w:rsid w:val="11F62EE9"/>
    <w:rsid w:val="11F86D77"/>
    <w:rsid w:val="12095A3E"/>
    <w:rsid w:val="12095B65"/>
    <w:rsid w:val="120D35E2"/>
    <w:rsid w:val="1212349F"/>
    <w:rsid w:val="121355DB"/>
    <w:rsid w:val="12210E7B"/>
    <w:rsid w:val="122D0061"/>
    <w:rsid w:val="123155A1"/>
    <w:rsid w:val="12326DC2"/>
    <w:rsid w:val="12473D7F"/>
    <w:rsid w:val="124D2729"/>
    <w:rsid w:val="125062A1"/>
    <w:rsid w:val="125C38BD"/>
    <w:rsid w:val="12664815"/>
    <w:rsid w:val="127D6304"/>
    <w:rsid w:val="128C0640"/>
    <w:rsid w:val="12960CDE"/>
    <w:rsid w:val="129C6349"/>
    <w:rsid w:val="129E34BA"/>
    <w:rsid w:val="12B46304"/>
    <w:rsid w:val="12BD6851"/>
    <w:rsid w:val="12C7072D"/>
    <w:rsid w:val="12CB4732"/>
    <w:rsid w:val="12D5073B"/>
    <w:rsid w:val="12D75CEB"/>
    <w:rsid w:val="12D83555"/>
    <w:rsid w:val="12E43DCF"/>
    <w:rsid w:val="12EC0194"/>
    <w:rsid w:val="12F02E71"/>
    <w:rsid w:val="12F40DF6"/>
    <w:rsid w:val="12FA57FD"/>
    <w:rsid w:val="130519AD"/>
    <w:rsid w:val="13076E22"/>
    <w:rsid w:val="132B25B1"/>
    <w:rsid w:val="133B516B"/>
    <w:rsid w:val="133E0FD8"/>
    <w:rsid w:val="13426E05"/>
    <w:rsid w:val="134372EB"/>
    <w:rsid w:val="136C704E"/>
    <w:rsid w:val="13710699"/>
    <w:rsid w:val="13767056"/>
    <w:rsid w:val="137E4353"/>
    <w:rsid w:val="13975FCE"/>
    <w:rsid w:val="13A35FA2"/>
    <w:rsid w:val="13A75E69"/>
    <w:rsid w:val="13BE63AE"/>
    <w:rsid w:val="13C54441"/>
    <w:rsid w:val="13C82D78"/>
    <w:rsid w:val="13C87727"/>
    <w:rsid w:val="13D53B45"/>
    <w:rsid w:val="13DF6E73"/>
    <w:rsid w:val="13E175CD"/>
    <w:rsid w:val="13F1593A"/>
    <w:rsid w:val="13FD4129"/>
    <w:rsid w:val="140339E5"/>
    <w:rsid w:val="14045069"/>
    <w:rsid w:val="14067033"/>
    <w:rsid w:val="14092680"/>
    <w:rsid w:val="142A6E60"/>
    <w:rsid w:val="142F527C"/>
    <w:rsid w:val="1434290B"/>
    <w:rsid w:val="14357918"/>
    <w:rsid w:val="14362BD1"/>
    <w:rsid w:val="143F5FAA"/>
    <w:rsid w:val="144B0EEA"/>
    <w:rsid w:val="14524026"/>
    <w:rsid w:val="14553B17"/>
    <w:rsid w:val="14644BBB"/>
    <w:rsid w:val="147026FF"/>
    <w:rsid w:val="1477078D"/>
    <w:rsid w:val="1480655B"/>
    <w:rsid w:val="14830684"/>
    <w:rsid w:val="14832432"/>
    <w:rsid w:val="148461AA"/>
    <w:rsid w:val="148E6A4C"/>
    <w:rsid w:val="14952165"/>
    <w:rsid w:val="14991DEC"/>
    <w:rsid w:val="14AA0314"/>
    <w:rsid w:val="14AC7060"/>
    <w:rsid w:val="14B75363"/>
    <w:rsid w:val="14BD65D4"/>
    <w:rsid w:val="14C34F24"/>
    <w:rsid w:val="14CE3295"/>
    <w:rsid w:val="14D26F15"/>
    <w:rsid w:val="14D427D3"/>
    <w:rsid w:val="14DC5FE6"/>
    <w:rsid w:val="14EA24B1"/>
    <w:rsid w:val="14EF1875"/>
    <w:rsid w:val="14FC3F92"/>
    <w:rsid w:val="14FE41AE"/>
    <w:rsid w:val="151E65FF"/>
    <w:rsid w:val="15267BD5"/>
    <w:rsid w:val="1527568C"/>
    <w:rsid w:val="152C56B4"/>
    <w:rsid w:val="153E1664"/>
    <w:rsid w:val="15435C00"/>
    <w:rsid w:val="15451DDD"/>
    <w:rsid w:val="155073CC"/>
    <w:rsid w:val="155C16B2"/>
    <w:rsid w:val="155E4A4F"/>
    <w:rsid w:val="156E2000"/>
    <w:rsid w:val="156E30E2"/>
    <w:rsid w:val="157A747A"/>
    <w:rsid w:val="15920EB6"/>
    <w:rsid w:val="159259DB"/>
    <w:rsid w:val="15973CBB"/>
    <w:rsid w:val="159B12DE"/>
    <w:rsid w:val="159D1D5D"/>
    <w:rsid w:val="159D5775"/>
    <w:rsid w:val="15A02B70"/>
    <w:rsid w:val="15A72150"/>
    <w:rsid w:val="15AE7982"/>
    <w:rsid w:val="15B33262"/>
    <w:rsid w:val="15BD4731"/>
    <w:rsid w:val="15C33CB3"/>
    <w:rsid w:val="15CC1BB7"/>
    <w:rsid w:val="15D05B4B"/>
    <w:rsid w:val="15D13671"/>
    <w:rsid w:val="15DA1140"/>
    <w:rsid w:val="15EE1307"/>
    <w:rsid w:val="16003FC0"/>
    <w:rsid w:val="16011215"/>
    <w:rsid w:val="16090D0A"/>
    <w:rsid w:val="160D0296"/>
    <w:rsid w:val="16196CEE"/>
    <w:rsid w:val="16227A29"/>
    <w:rsid w:val="162E6FEA"/>
    <w:rsid w:val="16306CB5"/>
    <w:rsid w:val="163634D4"/>
    <w:rsid w:val="163934C9"/>
    <w:rsid w:val="163B747F"/>
    <w:rsid w:val="163E47A2"/>
    <w:rsid w:val="16481B85"/>
    <w:rsid w:val="164B51D1"/>
    <w:rsid w:val="164C2CF7"/>
    <w:rsid w:val="16512C66"/>
    <w:rsid w:val="16534C52"/>
    <w:rsid w:val="16610EFD"/>
    <w:rsid w:val="1666781F"/>
    <w:rsid w:val="167B0147"/>
    <w:rsid w:val="168C2EEF"/>
    <w:rsid w:val="16970417"/>
    <w:rsid w:val="169D3553"/>
    <w:rsid w:val="16B30AE1"/>
    <w:rsid w:val="16BA4105"/>
    <w:rsid w:val="16BD5CDA"/>
    <w:rsid w:val="16CE3958"/>
    <w:rsid w:val="16D03928"/>
    <w:rsid w:val="16D97DC7"/>
    <w:rsid w:val="16E10F3C"/>
    <w:rsid w:val="16E3365C"/>
    <w:rsid w:val="16EC492F"/>
    <w:rsid w:val="170D2487"/>
    <w:rsid w:val="17151105"/>
    <w:rsid w:val="171B2960"/>
    <w:rsid w:val="171F36C4"/>
    <w:rsid w:val="17211B5D"/>
    <w:rsid w:val="17285513"/>
    <w:rsid w:val="172D0D7B"/>
    <w:rsid w:val="173B5246"/>
    <w:rsid w:val="173D68BB"/>
    <w:rsid w:val="17431887"/>
    <w:rsid w:val="17481C73"/>
    <w:rsid w:val="174836DA"/>
    <w:rsid w:val="175005C5"/>
    <w:rsid w:val="17684793"/>
    <w:rsid w:val="176B58AB"/>
    <w:rsid w:val="176D1177"/>
    <w:rsid w:val="177845C9"/>
    <w:rsid w:val="178D1819"/>
    <w:rsid w:val="17914E66"/>
    <w:rsid w:val="17917D74"/>
    <w:rsid w:val="17950011"/>
    <w:rsid w:val="17A85737"/>
    <w:rsid w:val="17AC1CA0"/>
    <w:rsid w:val="17B814A8"/>
    <w:rsid w:val="17B943BD"/>
    <w:rsid w:val="17E170AC"/>
    <w:rsid w:val="17F329A6"/>
    <w:rsid w:val="17FE06E4"/>
    <w:rsid w:val="180D4E89"/>
    <w:rsid w:val="181602D3"/>
    <w:rsid w:val="18161D69"/>
    <w:rsid w:val="182C4B26"/>
    <w:rsid w:val="182D1850"/>
    <w:rsid w:val="18365A0D"/>
    <w:rsid w:val="183D4058"/>
    <w:rsid w:val="184229CE"/>
    <w:rsid w:val="18577262"/>
    <w:rsid w:val="186913B9"/>
    <w:rsid w:val="186F1A5A"/>
    <w:rsid w:val="18780FCF"/>
    <w:rsid w:val="18836BCC"/>
    <w:rsid w:val="189B5D97"/>
    <w:rsid w:val="189C25FC"/>
    <w:rsid w:val="18A14754"/>
    <w:rsid w:val="18AF6EC4"/>
    <w:rsid w:val="18B31A70"/>
    <w:rsid w:val="18BB355D"/>
    <w:rsid w:val="18C536A3"/>
    <w:rsid w:val="18CB084B"/>
    <w:rsid w:val="18D71DD8"/>
    <w:rsid w:val="18DB7BBC"/>
    <w:rsid w:val="18E322BF"/>
    <w:rsid w:val="18E77701"/>
    <w:rsid w:val="18E95EDE"/>
    <w:rsid w:val="190568F9"/>
    <w:rsid w:val="19265A82"/>
    <w:rsid w:val="19313AE7"/>
    <w:rsid w:val="1936518C"/>
    <w:rsid w:val="193C5EFC"/>
    <w:rsid w:val="194175B6"/>
    <w:rsid w:val="194C2307"/>
    <w:rsid w:val="19597DE9"/>
    <w:rsid w:val="197174BD"/>
    <w:rsid w:val="19720CC7"/>
    <w:rsid w:val="197607B7"/>
    <w:rsid w:val="19831126"/>
    <w:rsid w:val="19880B1B"/>
    <w:rsid w:val="19B133AF"/>
    <w:rsid w:val="19B17A0A"/>
    <w:rsid w:val="19BA156E"/>
    <w:rsid w:val="19BE6530"/>
    <w:rsid w:val="19C73E97"/>
    <w:rsid w:val="19E020D4"/>
    <w:rsid w:val="19E35721"/>
    <w:rsid w:val="19EC6CCB"/>
    <w:rsid w:val="19F077E8"/>
    <w:rsid w:val="19FC385E"/>
    <w:rsid w:val="1A122BC9"/>
    <w:rsid w:val="1A18186E"/>
    <w:rsid w:val="1A2361DE"/>
    <w:rsid w:val="1A2D1CA6"/>
    <w:rsid w:val="1A3174C7"/>
    <w:rsid w:val="1A383F32"/>
    <w:rsid w:val="1A3F504D"/>
    <w:rsid w:val="1A4A7EC5"/>
    <w:rsid w:val="1A5D0811"/>
    <w:rsid w:val="1A6A64BE"/>
    <w:rsid w:val="1A6E2201"/>
    <w:rsid w:val="1A741638"/>
    <w:rsid w:val="1A7D3DC7"/>
    <w:rsid w:val="1A8326B7"/>
    <w:rsid w:val="1A8470D5"/>
    <w:rsid w:val="1A867F89"/>
    <w:rsid w:val="1A8A0CDA"/>
    <w:rsid w:val="1A906823"/>
    <w:rsid w:val="1AAC1D72"/>
    <w:rsid w:val="1AAD228C"/>
    <w:rsid w:val="1AC90407"/>
    <w:rsid w:val="1ACD08AB"/>
    <w:rsid w:val="1AD82DAC"/>
    <w:rsid w:val="1AEE25CF"/>
    <w:rsid w:val="1B110E54"/>
    <w:rsid w:val="1B18370C"/>
    <w:rsid w:val="1B1F59AD"/>
    <w:rsid w:val="1B251795"/>
    <w:rsid w:val="1B261D69"/>
    <w:rsid w:val="1B4F270F"/>
    <w:rsid w:val="1B590390"/>
    <w:rsid w:val="1B5E3125"/>
    <w:rsid w:val="1B6A60FA"/>
    <w:rsid w:val="1B6C11C8"/>
    <w:rsid w:val="1B6D0B86"/>
    <w:rsid w:val="1B715935"/>
    <w:rsid w:val="1B721A08"/>
    <w:rsid w:val="1B80591D"/>
    <w:rsid w:val="1B8371BB"/>
    <w:rsid w:val="1B930AD5"/>
    <w:rsid w:val="1B965141"/>
    <w:rsid w:val="1BA2759C"/>
    <w:rsid w:val="1BA60433"/>
    <w:rsid w:val="1BA76296"/>
    <w:rsid w:val="1BB11F7A"/>
    <w:rsid w:val="1BB23DE5"/>
    <w:rsid w:val="1BBA62E9"/>
    <w:rsid w:val="1BC455EE"/>
    <w:rsid w:val="1BC565DC"/>
    <w:rsid w:val="1BCD48DA"/>
    <w:rsid w:val="1BDF3A0A"/>
    <w:rsid w:val="1BE308E1"/>
    <w:rsid w:val="1BEF424D"/>
    <w:rsid w:val="1BF73705"/>
    <w:rsid w:val="1BF954ED"/>
    <w:rsid w:val="1BFC2ACA"/>
    <w:rsid w:val="1BFD529F"/>
    <w:rsid w:val="1BFF6B87"/>
    <w:rsid w:val="1C035D31"/>
    <w:rsid w:val="1C0E117B"/>
    <w:rsid w:val="1C136D8A"/>
    <w:rsid w:val="1C1D316C"/>
    <w:rsid w:val="1C1D75AD"/>
    <w:rsid w:val="1C1E6BE2"/>
    <w:rsid w:val="1C2C7853"/>
    <w:rsid w:val="1C4B4B3B"/>
    <w:rsid w:val="1C5A0D28"/>
    <w:rsid w:val="1C5B5A42"/>
    <w:rsid w:val="1C5C27B9"/>
    <w:rsid w:val="1C607A2E"/>
    <w:rsid w:val="1C784104"/>
    <w:rsid w:val="1C7A05BE"/>
    <w:rsid w:val="1C954CD6"/>
    <w:rsid w:val="1C994EC8"/>
    <w:rsid w:val="1C9A4142"/>
    <w:rsid w:val="1C9B22E3"/>
    <w:rsid w:val="1CA2734E"/>
    <w:rsid w:val="1CA44644"/>
    <w:rsid w:val="1CB4492A"/>
    <w:rsid w:val="1CB738BF"/>
    <w:rsid w:val="1CBA322D"/>
    <w:rsid w:val="1CBF19D2"/>
    <w:rsid w:val="1CC916A3"/>
    <w:rsid w:val="1CCC09D0"/>
    <w:rsid w:val="1D081F61"/>
    <w:rsid w:val="1D0870CF"/>
    <w:rsid w:val="1D185F8C"/>
    <w:rsid w:val="1D1D719C"/>
    <w:rsid w:val="1D1F0D32"/>
    <w:rsid w:val="1D1F6293"/>
    <w:rsid w:val="1D206B8C"/>
    <w:rsid w:val="1D293D92"/>
    <w:rsid w:val="1D2B0222"/>
    <w:rsid w:val="1D376540"/>
    <w:rsid w:val="1D3F7112"/>
    <w:rsid w:val="1D5305B1"/>
    <w:rsid w:val="1D5B5B91"/>
    <w:rsid w:val="1D732001"/>
    <w:rsid w:val="1D7517E7"/>
    <w:rsid w:val="1D790876"/>
    <w:rsid w:val="1D7B481A"/>
    <w:rsid w:val="1D813BCE"/>
    <w:rsid w:val="1D862BB4"/>
    <w:rsid w:val="1D874566"/>
    <w:rsid w:val="1D8C3B39"/>
    <w:rsid w:val="1D9B6A3E"/>
    <w:rsid w:val="1D9F5E03"/>
    <w:rsid w:val="1DA4146D"/>
    <w:rsid w:val="1DA51BD7"/>
    <w:rsid w:val="1DA52F17"/>
    <w:rsid w:val="1DCD0BC2"/>
    <w:rsid w:val="1DD714CA"/>
    <w:rsid w:val="1DE1641B"/>
    <w:rsid w:val="1DE80FAF"/>
    <w:rsid w:val="1DEE1D7B"/>
    <w:rsid w:val="1DF0613F"/>
    <w:rsid w:val="1DFA6CCA"/>
    <w:rsid w:val="1E0A4DB8"/>
    <w:rsid w:val="1E0D1DFA"/>
    <w:rsid w:val="1E0F4C28"/>
    <w:rsid w:val="1E144269"/>
    <w:rsid w:val="1E2076B7"/>
    <w:rsid w:val="1E28728E"/>
    <w:rsid w:val="1E2E3A39"/>
    <w:rsid w:val="1E370E0A"/>
    <w:rsid w:val="1E462B8B"/>
    <w:rsid w:val="1E4B4FD8"/>
    <w:rsid w:val="1E5F1377"/>
    <w:rsid w:val="1E6C3BCE"/>
    <w:rsid w:val="1E7767C7"/>
    <w:rsid w:val="1E86075E"/>
    <w:rsid w:val="1EB1403F"/>
    <w:rsid w:val="1EB25049"/>
    <w:rsid w:val="1EB53569"/>
    <w:rsid w:val="1EB82905"/>
    <w:rsid w:val="1EC9410B"/>
    <w:rsid w:val="1EE1179C"/>
    <w:rsid w:val="1EE214C0"/>
    <w:rsid w:val="1EF3123C"/>
    <w:rsid w:val="1EF55B62"/>
    <w:rsid w:val="1EF65EF6"/>
    <w:rsid w:val="1F0B3750"/>
    <w:rsid w:val="1F0B7084"/>
    <w:rsid w:val="1F1B4728"/>
    <w:rsid w:val="1F24386A"/>
    <w:rsid w:val="1F2C5FA4"/>
    <w:rsid w:val="1F360D7E"/>
    <w:rsid w:val="1F36422B"/>
    <w:rsid w:val="1F4D0EF4"/>
    <w:rsid w:val="1F552FA7"/>
    <w:rsid w:val="1F574CD6"/>
    <w:rsid w:val="1F617814"/>
    <w:rsid w:val="1F690C77"/>
    <w:rsid w:val="1F737547"/>
    <w:rsid w:val="1F784B5D"/>
    <w:rsid w:val="1F9626BE"/>
    <w:rsid w:val="1F976D27"/>
    <w:rsid w:val="1FA00D60"/>
    <w:rsid w:val="1FBD6F82"/>
    <w:rsid w:val="1FC14DBD"/>
    <w:rsid w:val="1FC758F5"/>
    <w:rsid w:val="1FCD625C"/>
    <w:rsid w:val="1FCE5246"/>
    <w:rsid w:val="1FD004A7"/>
    <w:rsid w:val="1FD53695"/>
    <w:rsid w:val="1FED37B9"/>
    <w:rsid w:val="2012795A"/>
    <w:rsid w:val="202A56CE"/>
    <w:rsid w:val="20393744"/>
    <w:rsid w:val="203E1903"/>
    <w:rsid w:val="203E74FC"/>
    <w:rsid w:val="20445069"/>
    <w:rsid w:val="20445CF6"/>
    <w:rsid w:val="204557E3"/>
    <w:rsid w:val="20457135"/>
    <w:rsid w:val="204721AA"/>
    <w:rsid w:val="20517888"/>
    <w:rsid w:val="205B7CB4"/>
    <w:rsid w:val="2076401A"/>
    <w:rsid w:val="20783067"/>
    <w:rsid w:val="207B26EE"/>
    <w:rsid w:val="207B3A1F"/>
    <w:rsid w:val="2080206C"/>
    <w:rsid w:val="20814CCB"/>
    <w:rsid w:val="20825957"/>
    <w:rsid w:val="20897B81"/>
    <w:rsid w:val="20930891"/>
    <w:rsid w:val="2096173F"/>
    <w:rsid w:val="209E05F3"/>
    <w:rsid w:val="209E5C08"/>
    <w:rsid w:val="20A43EB9"/>
    <w:rsid w:val="20A63400"/>
    <w:rsid w:val="20A756FA"/>
    <w:rsid w:val="20AD455D"/>
    <w:rsid w:val="20AE57E6"/>
    <w:rsid w:val="20B06AF5"/>
    <w:rsid w:val="20BE3384"/>
    <w:rsid w:val="20C067BC"/>
    <w:rsid w:val="20C90D2B"/>
    <w:rsid w:val="20D33D76"/>
    <w:rsid w:val="20DC26D0"/>
    <w:rsid w:val="20E805DE"/>
    <w:rsid w:val="20EC0B7F"/>
    <w:rsid w:val="20F33B84"/>
    <w:rsid w:val="20F6042F"/>
    <w:rsid w:val="20F84942"/>
    <w:rsid w:val="20FB5A46"/>
    <w:rsid w:val="20FC5411"/>
    <w:rsid w:val="21031E9A"/>
    <w:rsid w:val="21033044"/>
    <w:rsid w:val="21130FE1"/>
    <w:rsid w:val="21381B3A"/>
    <w:rsid w:val="213F00CE"/>
    <w:rsid w:val="21457CBE"/>
    <w:rsid w:val="2147554F"/>
    <w:rsid w:val="215C3BE3"/>
    <w:rsid w:val="215F4A0D"/>
    <w:rsid w:val="216F4323"/>
    <w:rsid w:val="216F733B"/>
    <w:rsid w:val="217560B0"/>
    <w:rsid w:val="21771FE5"/>
    <w:rsid w:val="219B20DC"/>
    <w:rsid w:val="219D08AB"/>
    <w:rsid w:val="21A00408"/>
    <w:rsid w:val="21B473DF"/>
    <w:rsid w:val="21B53586"/>
    <w:rsid w:val="21C00D8A"/>
    <w:rsid w:val="21C34002"/>
    <w:rsid w:val="21DC50BF"/>
    <w:rsid w:val="21E67F4F"/>
    <w:rsid w:val="21F14FC0"/>
    <w:rsid w:val="21FB60D3"/>
    <w:rsid w:val="220A5F40"/>
    <w:rsid w:val="221B1A4E"/>
    <w:rsid w:val="223823A3"/>
    <w:rsid w:val="224372CA"/>
    <w:rsid w:val="22445ECF"/>
    <w:rsid w:val="22717EF7"/>
    <w:rsid w:val="227E5C9D"/>
    <w:rsid w:val="22BC3EB7"/>
    <w:rsid w:val="22C60B71"/>
    <w:rsid w:val="22D05933"/>
    <w:rsid w:val="22F059E5"/>
    <w:rsid w:val="22FD5350"/>
    <w:rsid w:val="23007CB8"/>
    <w:rsid w:val="230706D2"/>
    <w:rsid w:val="23194D81"/>
    <w:rsid w:val="23362D65"/>
    <w:rsid w:val="233A6758"/>
    <w:rsid w:val="234436D4"/>
    <w:rsid w:val="23556570"/>
    <w:rsid w:val="235A7056"/>
    <w:rsid w:val="23621DAC"/>
    <w:rsid w:val="23672C8A"/>
    <w:rsid w:val="237613B4"/>
    <w:rsid w:val="23904D06"/>
    <w:rsid w:val="23A300A3"/>
    <w:rsid w:val="23AE4F4C"/>
    <w:rsid w:val="23BA3EF6"/>
    <w:rsid w:val="23C640E9"/>
    <w:rsid w:val="23DD0BFC"/>
    <w:rsid w:val="23DF2FA8"/>
    <w:rsid w:val="23E00EE5"/>
    <w:rsid w:val="23F231AE"/>
    <w:rsid w:val="23F821FE"/>
    <w:rsid w:val="24042E63"/>
    <w:rsid w:val="24150A21"/>
    <w:rsid w:val="241C63FF"/>
    <w:rsid w:val="243204A7"/>
    <w:rsid w:val="2446776E"/>
    <w:rsid w:val="2449696F"/>
    <w:rsid w:val="2450029A"/>
    <w:rsid w:val="2455334D"/>
    <w:rsid w:val="24577437"/>
    <w:rsid w:val="24695B13"/>
    <w:rsid w:val="246A1D00"/>
    <w:rsid w:val="24772B22"/>
    <w:rsid w:val="2485604C"/>
    <w:rsid w:val="24A65CC9"/>
    <w:rsid w:val="24A73F1B"/>
    <w:rsid w:val="24C22047"/>
    <w:rsid w:val="24C46654"/>
    <w:rsid w:val="25071B35"/>
    <w:rsid w:val="250A07C3"/>
    <w:rsid w:val="250B3D8C"/>
    <w:rsid w:val="253D3D04"/>
    <w:rsid w:val="254A073A"/>
    <w:rsid w:val="25653D07"/>
    <w:rsid w:val="25694D45"/>
    <w:rsid w:val="2591184A"/>
    <w:rsid w:val="25951FC5"/>
    <w:rsid w:val="25AD2225"/>
    <w:rsid w:val="25B92D29"/>
    <w:rsid w:val="25BD776E"/>
    <w:rsid w:val="25D626A7"/>
    <w:rsid w:val="25D710E1"/>
    <w:rsid w:val="25D92344"/>
    <w:rsid w:val="25E46AA9"/>
    <w:rsid w:val="25EC3BAF"/>
    <w:rsid w:val="25F0369F"/>
    <w:rsid w:val="25F9324C"/>
    <w:rsid w:val="26041520"/>
    <w:rsid w:val="262477ED"/>
    <w:rsid w:val="262F0073"/>
    <w:rsid w:val="26307F40"/>
    <w:rsid w:val="264834DB"/>
    <w:rsid w:val="265005E2"/>
    <w:rsid w:val="265C4DF4"/>
    <w:rsid w:val="26600825"/>
    <w:rsid w:val="26661BB3"/>
    <w:rsid w:val="2669133F"/>
    <w:rsid w:val="267C5E66"/>
    <w:rsid w:val="26851904"/>
    <w:rsid w:val="268C1088"/>
    <w:rsid w:val="268E11BD"/>
    <w:rsid w:val="268F41C1"/>
    <w:rsid w:val="269A673C"/>
    <w:rsid w:val="26A050C5"/>
    <w:rsid w:val="26AF38E8"/>
    <w:rsid w:val="26B61F36"/>
    <w:rsid w:val="26B951B0"/>
    <w:rsid w:val="26BB44D0"/>
    <w:rsid w:val="26C827B3"/>
    <w:rsid w:val="26CA7D26"/>
    <w:rsid w:val="26CC536A"/>
    <w:rsid w:val="26CF1A96"/>
    <w:rsid w:val="26D905D7"/>
    <w:rsid w:val="26DE5BEE"/>
    <w:rsid w:val="26E038BD"/>
    <w:rsid w:val="26E26D33"/>
    <w:rsid w:val="26EA49F0"/>
    <w:rsid w:val="26EA6341"/>
    <w:rsid w:val="27096C04"/>
    <w:rsid w:val="270E64D3"/>
    <w:rsid w:val="27121405"/>
    <w:rsid w:val="2712523F"/>
    <w:rsid w:val="27195750"/>
    <w:rsid w:val="27263487"/>
    <w:rsid w:val="27475258"/>
    <w:rsid w:val="27491CE2"/>
    <w:rsid w:val="274C00E7"/>
    <w:rsid w:val="274E4B21"/>
    <w:rsid w:val="27526510"/>
    <w:rsid w:val="27554346"/>
    <w:rsid w:val="275E4EAC"/>
    <w:rsid w:val="27736336"/>
    <w:rsid w:val="277F74D6"/>
    <w:rsid w:val="278C73F8"/>
    <w:rsid w:val="2799071E"/>
    <w:rsid w:val="279D281D"/>
    <w:rsid w:val="27BA50C6"/>
    <w:rsid w:val="27C110E8"/>
    <w:rsid w:val="27C2589A"/>
    <w:rsid w:val="27C608B1"/>
    <w:rsid w:val="27CB2C5E"/>
    <w:rsid w:val="27CF5D37"/>
    <w:rsid w:val="27D008CD"/>
    <w:rsid w:val="27D24728"/>
    <w:rsid w:val="27D74B17"/>
    <w:rsid w:val="27E84793"/>
    <w:rsid w:val="27EB3F28"/>
    <w:rsid w:val="27EF586F"/>
    <w:rsid w:val="27FF018F"/>
    <w:rsid w:val="280E5870"/>
    <w:rsid w:val="28173D98"/>
    <w:rsid w:val="281B6B3C"/>
    <w:rsid w:val="281E2746"/>
    <w:rsid w:val="28250CC6"/>
    <w:rsid w:val="28251E9F"/>
    <w:rsid w:val="2829733C"/>
    <w:rsid w:val="283A4B96"/>
    <w:rsid w:val="284239ED"/>
    <w:rsid w:val="284B190C"/>
    <w:rsid w:val="28527737"/>
    <w:rsid w:val="2854351E"/>
    <w:rsid w:val="285C547F"/>
    <w:rsid w:val="285D1471"/>
    <w:rsid w:val="28606245"/>
    <w:rsid w:val="28645791"/>
    <w:rsid w:val="286D0FD7"/>
    <w:rsid w:val="28810F26"/>
    <w:rsid w:val="2887059C"/>
    <w:rsid w:val="288753C6"/>
    <w:rsid w:val="288A5FB2"/>
    <w:rsid w:val="288B58A3"/>
    <w:rsid w:val="28A138D1"/>
    <w:rsid w:val="28A32C4B"/>
    <w:rsid w:val="28A36707"/>
    <w:rsid w:val="28A42260"/>
    <w:rsid w:val="28A71382"/>
    <w:rsid w:val="28AF35C6"/>
    <w:rsid w:val="28B06FF1"/>
    <w:rsid w:val="28B90FF5"/>
    <w:rsid w:val="28BC1F5F"/>
    <w:rsid w:val="28C57065"/>
    <w:rsid w:val="28C82C67"/>
    <w:rsid w:val="28D15A0A"/>
    <w:rsid w:val="28D37A3B"/>
    <w:rsid w:val="28E21187"/>
    <w:rsid w:val="28EE5307"/>
    <w:rsid w:val="28F11C08"/>
    <w:rsid w:val="28FC7098"/>
    <w:rsid w:val="290D0E0E"/>
    <w:rsid w:val="29171045"/>
    <w:rsid w:val="29220014"/>
    <w:rsid w:val="292B0F16"/>
    <w:rsid w:val="293748C1"/>
    <w:rsid w:val="29417411"/>
    <w:rsid w:val="29580D07"/>
    <w:rsid w:val="29606D8E"/>
    <w:rsid w:val="296350A7"/>
    <w:rsid w:val="29653242"/>
    <w:rsid w:val="296C5604"/>
    <w:rsid w:val="298939FC"/>
    <w:rsid w:val="298C3CA4"/>
    <w:rsid w:val="299130E9"/>
    <w:rsid w:val="2994513B"/>
    <w:rsid w:val="2996455E"/>
    <w:rsid w:val="29AD778D"/>
    <w:rsid w:val="29B47173"/>
    <w:rsid w:val="29BB1BAC"/>
    <w:rsid w:val="29C410CB"/>
    <w:rsid w:val="29C87D11"/>
    <w:rsid w:val="29D05CC2"/>
    <w:rsid w:val="29D15596"/>
    <w:rsid w:val="29DF7CB3"/>
    <w:rsid w:val="29E057D9"/>
    <w:rsid w:val="29E4176D"/>
    <w:rsid w:val="29E6570E"/>
    <w:rsid w:val="29E94B0F"/>
    <w:rsid w:val="29EC61E5"/>
    <w:rsid w:val="29FD2C93"/>
    <w:rsid w:val="29FF55E4"/>
    <w:rsid w:val="2A030DC6"/>
    <w:rsid w:val="2A0911D4"/>
    <w:rsid w:val="2A190AFA"/>
    <w:rsid w:val="2A3049B2"/>
    <w:rsid w:val="2A331DAD"/>
    <w:rsid w:val="2A361422"/>
    <w:rsid w:val="2A3D6440"/>
    <w:rsid w:val="2A4B5348"/>
    <w:rsid w:val="2A4B5EB3"/>
    <w:rsid w:val="2A5F0DF4"/>
    <w:rsid w:val="2A5F5BA1"/>
    <w:rsid w:val="2A701253"/>
    <w:rsid w:val="2A765DEA"/>
    <w:rsid w:val="2A854FC4"/>
    <w:rsid w:val="2A872FE8"/>
    <w:rsid w:val="2A932085"/>
    <w:rsid w:val="2A9413C9"/>
    <w:rsid w:val="2A9D36CA"/>
    <w:rsid w:val="2A9E191C"/>
    <w:rsid w:val="2AB056E9"/>
    <w:rsid w:val="2AB34501"/>
    <w:rsid w:val="2ABB0C08"/>
    <w:rsid w:val="2AD16F39"/>
    <w:rsid w:val="2ADD0128"/>
    <w:rsid w:val="2AEA268E"/>
    <w:rsid w:val="2AF91248"/>
    <w:rsid w:val="2AFE498C"/>
    <w:rsid w:val="2B0261C7"/>
    <w:rsid w:val="2B14199B"/>
    <w:rsid w:val="2B1616C0"/>
    <w:rsid w:val="2B1C6CE5"/>
    <w:rsid w:val="2B277B63"/>
    <w:rsid w:val="2B2C172A"/>
    <w:rsid w:val="2B2D2CA0"/>
    <w:rsid w:val="2B375A80"/>
    <w:rsid w:val="2B5618EA"/>
    <w:rsid w:val="2B5E554F"/>
    <w:rsid w:val="2B620B9B"/>
    <w:rsid w:val="2B6A60AE"/>
    <w:rsid w:val="2B747BBA"/>
    <w:rsid w:val="2B801021"/>
    <w:rsid w:val="2B9F0531"/>
    <w:rsid w:val="2B9F77CC"/>
    <w:rsid w:val="2BAE3DE1"/>
    <w:rsid w:val="2BB12FF2"/>
    <w:rsid w:val="2BB60EE7"/>
    <w:rsid w:val="2BC3094D"/>
    <w:rsid w:val="2BD971EE"/>
    <w:rsid w:val="2BDD46C6"/>
    <w:rsid w:val="2BE22220"/>
    <w:rsid w:val="2BEF61A7"/>
    <w:rsid w:val="2C064ECB"/>
    <w:rsid w:val="2C104E0B"/>
    <w:rsid w:val="2C155C0E"/>
    <w:rsid w:val="2C1B0FB3"/>
    <w:rsid w:val="2C230890"/>
    <w:rsid w:val="2C275E71"/>
    <w:rsid w:val="2C2C6236"/>
    <w:rsid w:val="2C3167C0"/>
    <w:rsid w:val="2C33078A"/>
    <w:rsid w:val="2C387B4E"/>
    <w:rsid w:val="2C390A42"/>
    <w:rsid w:val="2C4732BE"/>
    <w:rsid w:val="2C5A208D"/>
    <w:rsid w:val="2C603C73"/>
    <w:rsid w:val="2C696B54"/>
    <w:rsid w:val="2C6B4044"/>
    <w:rsid w:val="2C7D2489"/>
    <w:rsid w:val="2C821D68"/>
    <w:rsid w:val="2C854E8D"/>
    <w:rsid w:val="2C8B2374"/>
    <w:rsid w:val="2C9A4C4D"/>
    <w:rsid w:val="2CA476CF"/>
    <w:rsid w:val="2CA90A4C"/>
    <w:rsid w:val="2CBC077F"/>
    <w:rsid w:val="2CC1332A"/>
    <w:rsid w:val="2CC460EE"/>
    <w:rsid w:val="2CC55886"/>
    <w:rsid w:val="2CC94C4A"/>
    <w:rsid w:val="2CCB451E"/>
    <w:rsid w:val="2CCD4076"/>
    <w:rsid w:val="2CD31625"/>
    <w:rsid w:val="2CD60A6C"/>
    <w:rsid w:val="2CDB5B13"/>
    <w:rsid w:val="2CDC2BCF"/>
    <w:rsid w:val="2CDC7EC4"/>
    <w:rsid w:val="2CE13E0E"/>
    <w:rsid w:val="2CE51317"/>
    <w:rsid w:val="2CEC3149"/>
    <w:rsid w:val="2CF55A3F"/>
    <w:rsid w:val="2D0D4B37"/>
    <w:rsid w:val="2D157E8F"/>
    <w:rsid w:val="2D2B7629"/>
    <w:rsid w:val="2D2F7EFE"/>
    <w:rsid w:val="2D307726"/>
    <w:rsid w:val="2D320D8B"/>
    <w:rsid w:val="2D3E1194"/>
    <w:rsid w:val="2D464494"/>
    <w:rsid w:val="2D525F67"/>
    <w:rsid w:val="2D5573EF"/>
    <w:rsid w:val="2D5663E5"/>
    <w:rsid w:val="2D5704A8"/>
    <w:rsid w:val="2D5B79F0"/>
    <w:rsid w:val="2D5C59D6"/>
    <w:rsid w:val="2D727090"/>
    <w:rsid w:val="2D8017AD"/>
    <w:rsid w:val="2D852054"/>
    <w:rsid w:val="2D872595"/>
    <w:rsid w:val="2D9066E8"/>
    <w:rsid w:val="2D9D3677"/>
    <w:rsid w:val="2DAB444D"/>
    <w:rsid w:val="2DAD00C8"/>
    <w:rsid w:val="2DB06383"/>
    <w:rsid w:val="2DB245D8"/>
    <w:rsid w:val="2DB6793F"/>
    <w:rsid w:val="2DB96B52"/>
    <w:rsid w:val="2DBA39F0"/>
    <w:rsid w:val="2DBB4593"/>
    <w:rsid w:val="2DC0323D"/>
    <w:rsid w:val="2DC378EB"/>
    <w:rsid w:val="2DC515B0"/>
    <w:rsid w:val="2DC729FE"/>
    <w:rsid w:val="2DC77DCA"/>
    <w:rsid w:val="2DCD403A"/>
    <w:rsid w:val="2DE63220"/>
    <w:rsid w:val="2DEA387E"/>
    <w:rsid w:val="2DFB0D3B"/>
    <w:rsid w:val="2DFE297D"/>
    <w:rsid w:val="2E0208DD"/>
    <w:rsid w:val="2E073CE1"/>
    <w:rsid w:val="2E0E2DE1"/>
    <w:rsid w:val="2E114AFB"/>
    <w:rsid w:val="2E1344DC"/>
    <w:rsid w:val="2E234885"/>
    <w:rsid w:val="2E286A42"/>
    <w:rsid w:val="2E426A62"/>
    <w:rsid w:val="2E5311BD"/>
    <w:rsid w:val="2E607A11"/>
    <w:rsid w:val="2E69625B"/>
    <w:rsid w:val="2E7133BC"/>
    <w:rsid w:val="2E7D18A1"/>
    <w:rsid w:val="2E7E255B"/>
    <w:rsid w:val="2E7F3812"/>
    <w:rsid w:val="2E8157DC"/>
    <w:rsid w:val="2E903C71"/>
    <w:rsid w:val="2E9E2638"/>
    <w:rsid w:val="2EA85132"/>
    <w:rsid w:val="2EB01C1E"/>
    <w:rsid w:val="2EB46A04"/>
    <w:rsid w:val="2EB711FE"/>
    <w:rsid w:val="2EBF3B17"/>
    <w:rsid w:val="2ECD362D"/>
    <w:rsid w:val="2EE20771"/>
    <w:rsid w:val="2EFC4E63"/>
    <w:rsid w:val="2F0247C0"/>
    <w:rsid w:val="2F0A1F46"/>
    <w:rsid w:val="2F141D40"/>
    <w:rsid w:val="2F21503B"/>
    <w:rsid w:val="2F257C3B"/>
    <w:rsid w:val="2F363DB4"/>
    <w:rsid w:val="2F446CE9"/>
    <w:rsid w:val="2F533148"/>
    <w:rsid w:val="2F61116A"/>
    <w:rsid w:val="2F6A03D2"/>
    <w:rsid w:val="2F723377"/>
    <w:rsid w:val="2F787D25"/>
    <w:rsid w:val="2F7D09D9"/>
    <w:rsid w:val="2F8A246F"/>
    <w:rsid w:val="2F9316C0"/>
    <w:rsid w:val="2F962126"/>
    <w:rsid w:val="2F9966D9"/>
    <w:rsid w:val="2FA26362"/>
    <w:rsid w:val="2FB62D97"/>
    <w:rsid w:val="2FBA48F0"/>
    <w:rsid w:val="2FC10CAA"/>
    <w:rsid w:val="2FD42EE9"/>
    <w:rsid w:val="2FD808A9"/>
    <w:rsid w:val="2FDA4B93"/>
    <w:rsid w:val="2FE06533"/>
    <w:rsid w:val="2FE37DD1"/>
    <w:rsid w:val="2FF40F45"/>
    <w:rsid w:val="2FF41FDE"/>
    <w:rsid w:val="2FFB2DCC"/>
    <w:rsid w:val="2FFD65A9"/>
    <w:rsid w:val="300E12F2"/>
    <w:rsid w:val="30336FAA"/>
    <w:rsid w:val="303650C3"/>
    <w:rsid w:val="30367A6B"/>
    <w:rsid w:val="303A5707"/>
    <w:rsid w:val="304F5466"/>
    <w:rsid w:val="30504D60"/>
    <w:rsid w:val="305553AF"/>
    <w:rsid w:val="30662EDC"/>
    <w:rsid w:val="307153DD"/>
    <w:rsid w:val="30991074"/>
    <w:rsid w:val="30C36530"/>
    <w:rsid w:val="30CB2D3F"/>
    <w:rsid w:val="30D23F36"/>
    <w:rsid w:val="30D75B88"/>
    <w:rsid w:val="30DD6F16"/>
    <w:rsid w:val="30EC0F07"/>
    <w:rsid w:val="30EE2ED1"/>
    <w:rsid w:val="30EE3F00"/>
    <w:rsid w:val="30EF1D20"/>
    <w:rsid w:val="30F779FC"/>
    <w:rsid w:val="30FA12BF"/>
    <w:rsid w:val="312E5247"/>
    <w:rsid w:val="3134032E"/>
    <w:rsid w:val="31363E4E"/>
    <w:rsid w:val="314A7BDF"/>
    <w:rsid w:val="314D409C"/>
    <w:rsid w:val="315159AC"/>
    <w:rsid w:val="3153463F"/>
    <w:rsid w:val="31566970"/>
    <w:rsid w:val="315B5C24"/>
    <w:rsid w:val="315E7B1E"/>
    <w:rsid w:val="31876369"/>
    <w:rsid w:val="318D450C"/>
    <w:rsid w:val="31903F88"/>
    <w:rsid w:val="319F0024"/>
    <w:rsid w:val="31A812D2"/>
    <w:rsid w:val="31AB2DAB"/>
    <w:rsid w:val="31B25476"/>
    <w:rsid w:val="31B71515"/>
    <w:rsid w:val="31B959C7"/>
    <w:rsid w:val="31BD550A"/>
    <w:rsid w:val="31C3435E"/>
    <w:rsid w:val="31CF465E"/>
    <w:rsid w:val="31D65860"/>
    <w:rsid w:val="31DF2946"/>
    <w:rsid w:val="31E77E49"/>
    <w:rsid w:val="31ED3189"/>
    <w:rsid w:val="31EE10DC"/>
    <w:rsid w:val="31F27808"/>
    <w:rsid w:val="31F81AD3"/>
    <w:rsid w:val="321142D8"/>
    <w:rsid w:val="321B644E"/>
    <w:rsid w:val="32317484"/>
    <w:rsid w:val="323647E0"/>
    <w:rsid w:val="32431AD0"/>
    <w:rsid w:val="32530340"/>
    <w:rsid w:val="325A3421"/>
    <w:rsid w:val="32607DFF"/>
    <w:rsid w:val="326501D5"/>
    <w:rsid w:val="326E03CD"/>
    <w:rsid w:val="32716E51"/>
    <w:rsid w:val="32737B32"/>
    <w:rsid w:val="32793FAC"/>
    <w:rsid w:val="3282040F"/>
    <w:rsid w:val="328E2CF1"/>
    <w:rsid w:val="32977498"/>
    <w:rsid w:val="32A11B7A"/>
    <w:rsid w:val="32A55B5B"/>
    <w:rsid w:val="32AB22E8"/>
    <w:rsid w:val="32B04DB2"/>
    <w:rsid w:val="32C51A10"/>
    <w:rsid w:val="32C569FF"/>
    <w:rsid w:val="32CE4D68"/>
    <w:rsid w:val="32CF2B72"/>
    <w:rsid w:val="32D03638"/>
    <w:rsid w:val="32D34C1D"/>
    <w:rsid w:val="32D50524"/>
    <w:rsid w:val="32E53A10"/>
    <w:rsid w:val="32EC5A11"/>
    <w:rsid w:val="32F50547"/>
    <w:rsid w:val="32FA3431"/>
    <w:rsid w:val="3306616E"/>
    <w:rsid w:val="330662B0"/>
    <w:rsid w:val="33231A6B"/>
    <w:rsid w:val="332350B4"/>
    <w:rsid w:val="33254F2D"/>
    <w:rsid w:val="333A389D"/>
    <w:rsid w:val="33545A64"/>
    <w:rsid w:val="336A2CE3"/>
    <w:rsid w:val="336F3663"/>
    <w:rsid w:val="337554A3"/>
    <w:rsid w:val="337B0E24"/>
    <w:rsid w:val="338401D6"/>
    <w:rsid w:val="338C030E"/>
    <w:rsid w:val="33925D96"/>
    <w:rsid w:val="33A45AC9"/>
    <w:rsid w:val="33B053AF"/>
    <w:rsid w:val="33B43F5E"/>
    <w:rsid w:val="33C61EE3"/>
    <w:rsid w:val="33CA4D76"/>
    <w:rsid w:val="33CF5015"/>
    <w:rsid w:val="33D34C0B"/>
    <w:rsid w:val="33D62126"/>
    <w:rsid w:val="33D77590"/>
    <w:rsid w:val="33E0347F"/>
    <w:rsid w:val="34210CAE"/>
    <w:rsid w:val="342B1D46"/>
    <w:rsid w:val="344008D1"/>
    <w:rsid w:val="344572AC"/>
    <w:rsid w:val="3447178E"/>
    <w:rsid w:val="34495444"/>
    <w:rsid w:val="345E1E65"/>
    <w:rsid w:val="348002E4"/>
    <w:rsid w:val="348258A7"/>
    <w:rsid w:val="3485461B"/>
    <w:rsid w:val="34925255"/>
    <w:rsid w:val="349721D9"/>
    <w:rsid w:val="34AA710F"/>
    <w:rsid w:val="34BE489F"/>
    <w:rsid w:val="34C5219B"/>
    <w:rsid w:val="34CA77B1"/>
    <w:rsid w:val="34D10B40"/>
    <w:rsid w:val="34D661A3"/>
    <w:rsid w:val="34D7676C"/>
    <w:rsid w:val="34D81ECE"/>
    <w:rsid w:val="34EB2CDD"/>
    <w:rsid w:val="34EC2EB9"/>
    <w:rsid w:val="34EE524E"/>
    <w:rsid w:val="3504664D"/>
    <w:rsid w:val="350F40EB"/>
    <w:rsid w:val="35156C7E"/>
    <w:rsid w:val="351729F7"/>
    <w:rsid w:val="351E091F"/>
    <w:rsid w:val="351F0FAC"/>
    <w:rsid w:val="35210197"/>
    <w:rsid w:val="3526790A"/>
    <w:rsid w:val="352A4256"/>
    <w:rsid w:val="353D61D5"/>
    <w:rsid w:val="3542559A"/>
    <w:rsid w:val="35431424"/>
    <w:rsid w:val="35474AB0"/>
    <w:rsid w:val="3547515D"/>
    <w:rsid w:val="35480CF6"/>
    <w:rsid w:val="354E3E1E"/>
    <w:rsid w:val="355D069A"/>
    <w:rsid w:val="35646B82"/>
    <w:rsid w:val="356B50D9"/>
    <w:rsid w:val="356C58AD"/>
    <w:rsid w:val="3575644D"/>
    <w:rsid w:val="35774AB9"/>
    <w:rsid w:val="357E2A76"/>
    <w:rsid w:val="358335C2"/>
    <w:rsid w:val="3587366D"/>
    <w:rsid w:val="35935DF5"/>
    <w:rsid w:val="35A16F73"/>
    <w:rsid w:val="35A3641B"/>
    <w:rsid w:val="35A41DB0"/>
    <w:rsid w:val="35A46254"/>
    <w:rsid w:val="35A470AE"/>
    <w:rsid w:val="35B277CF"/>
    <w:rsid w:val="35BA5E1A"/>
    <w:rsid w:val="35C33B14"/>
    <w:rsid w:val="35C84690"/>
    <w:rsid w:val="35CA7988"/>
    <w:rsid w:val="35E47D46"/>
    <w:rsid w:val="35ED6B48"/>
    <w:rsid w:val="35F45E8B"/>
    <w:rsid w:val="35FB5B03"/>
    <w:rsid w:val="36241293"/>
    <w:rsid w:val="36257395"/>
    <w:rsid w:val="36583083"/>
    <w:rsid w:val="365A33B7"/>
    <w:rsid w:val="366D23E9"/>
    <w:rsid w:val="366E276C"/>
    <w:rsid w:val="36703A01"/>
    <w:rsid w:val="36755FDE"/>
    <w:rsid w:val="36766A47"/>
    <w:rsid w:val="368340BC"/>
    <w:rsid w:val="36881445"/>
    <w:rsid w:val="368A292D"/>
    <w:rsid w:val="368A594B"/>
    <w:rsid w:val="368C1783"/>
    <w:rsid w:val="368F7238"/>
    <w:rsid w:val="36973959"/>
    <w:rsid w:val="36AA4451"/>
    <w:rsid w:val="36B008D8"/>
    <w:rsid w:val="36B10C29"/>
    <w:rsid w:val="36BC2851"/>
    <w:rsid w:val="36D96DD9"/>
    <w:rsid w:val="36E66C40"/>
    <w:rsid w:val="36F10990"/>
    <w:rsid w:val="370D26A3"/>
    <w:rsid w:val="37201095"/>
    <w:rsid w:val="372235BD"/>
    <w:rsid w:val="37252C7D"/>
    <w:rsid w:val="373309DC"/>
    <w:rsid w:val="373326B8"/>
    <w:rsid w:val="37520247"/>
    <w:rsid w:val="376215F9"/>
    <w:rsid w:val="376C68FE"/>
    <w:rsid w:val="376E70A4"/>
    <w:rsid w:val="377719EF"/>
    <w:rsid w:val="378123A9"/>
    <w:rsid w:val="378679C0"/>
    <w:rsid w:val="37885B03"/>
    <w:rsid w:val="37887BDC"/>
    <w:rsid w:val="37981436"/>
    <w:rsid w:val="37A434A3"/>
    <w:rsid w:val="37A920BC"/>
    <w:rsid w:val="37B01116"/>
    <w:rsid w:val="37C12BB5"/>
    <w:rsid w:val="37C5495D"/>
    <w:rsid w:val="37E341DA"/>
    <w:rsid w:val="37EC5F7B"/>
    <w:rsid w:val="37F0694A"/>
    <w:rsid w:val="37F14165"/>
    <w:rsid w:val="380600E0"/>
    <w:rsid w:val="380C7EA0"/>
    <w:rsid w:val="381257AF"/>
    <w:rsid w:val="381450F7"/>
    <w:rsid w:val="381470DD"/>
    <w:rsid w:val="3824244F"/>
    <w:rsid w:val="38276324"/>
    <w:rsid w:val="382947EF"/>
    <w:rsid w:val="3837600C"/>
    <w:rsid w:val="38441E4A"/>
    <w:rsid w:val="386C12AB"/>
    <w:rsid w:val="38703520"/>
    <w:rsid w:val="387442BD"/>
    <w:rsid w:val="387A5AF6"/>
    <w:rsid w:val="387A74C6"/>
    <w:rsid w:val="38824FEC"/>
    <w:rsid w:val="388365F5"/>
    <w:rsid w:val="389B74EC"/>
    <w:rsid w:val="389E342F"/>
    <w:rsid w:val="38A2163C"/>
    <w:rsid w:val="38AC78FA"/>
    <w:rsid w:val="38B10CD7"/>
    <w:rsid w:val="38B371E2"/>
    <w:rsid w:val="38BC484B"/>
    <w:rsid w:val="38BF1A11"/>
    <w:rsid w:val="38C01848"/>
    <w:rsid w:val="38C21810"/>
    <w:rsid w:val="38D8647F"/>
    <w:rsid w:val="38ED6A84"/>
    <w:rsid w:val="38F51C6A"/>
    <w:rsid w:val="390115DC"/>
    <w:rsid w:val="39111C5F"/>
    <w:rsid w:val="39142431"/>
    <w:rsid w:val="39204A69"/>
    <w:rsid w:val="39274E65"/>
    <w:rsid w:val="3937592A"/>
    <w:rsid w:val="39391637"/>
    <w:rsid w:val="393A67E2"/>
    <w:rsid w:val="394B5125"/>
    <w:rsid w:val="39564988"/>
    <w:rsid w:val="39640917"/>
    <w:rsid w:val="39651C68"/>
    <w:rsid w:val="396C6F56"/>
    <w:rsid w:val="398828FC"/>
    <w:rsid w:val="39985DC1"/>
    <w:rsid w:val="399E7355"/>
    <w:rsid w:val="39BA4298"/>
    <w:rsid w:val="39BD24A1"/>
    <w:rsid w:val="39C84BD3"/>
    <w:rsid w:val="39CD7B28"/>
    <w:rsid w:val="39D23088"/>
    <w:rsid w:val="39D63BC2"/>
    <w:rsid w:val="39FD5F33"/>
    <w:rsid w:val="3A0D1341"/>
    <w:rsid w:val="3A19697C"/>
    <w:rsid w:val="3A241712"/>
    <w:rsid w:val="3A275664"/>
    <w:rsid w:val="3A296A5E"/>
    <w:rsid w:val="3A396F6B"/>
    <w:rsid w:val="3A483652"/>
    <w:rsid w:val="3A4B6EC2"/>
    <w:rsid w:val="3A516E96"/>
    <w:rsid w:val="3A555D6F"/>
    <w:rsid w:val="3A672285"/>
    <w:rsid w:val="3A73258B"/>
    <w:rsid w:val="3A740FA3"/>
    <w:rsid w:val="3A773F37"/>
    <w:rsid w:val="3A906A04"/>
    <w:rsid w:val="3A94332A"/>
    <w:rsid w:val="3A9A69CA"/>
    <w:rsid w:val="3AB7338B"/>
    <w:rsid w:val="3ABA3158"/>
    <w:rsid w:val="3AC54CA3"/>
    <w:rsid w:val="3AD06FC2"/>
    <w:rsid w:val="3ADF71D3"/>
    <w:rsid w:val="3AFC1592"/>
    <w:rsid w:val="3B0752BB"/>
    <w:rsid w:val="3B0A473E"/>
    <w:rsid w:val="3B0B3494"/>
    <w:rsid w:val="3B174F09"/>
    <w:rsid w:val="3B421FAF"/>
    <w:rsid w:val="3B424B80"/>
    <w:rsid w:val="3B4267A7"/>
    <w:rsid w:val="3B48382E"/>
    <w:rsid w:val="3B794422"/>
    <w:rsid w:val="3BDA4E51"/>
    <w:rsid w:val="3BDB2906"/>
    <w:rsid w:val="3BEC3676"/>
    <w:rsid w:val="3BEF7DD6"/>
    <w:rsid w:val="3BF66E77"/>
    <w:rsid w:val="3BF82EB3"/>
    <w:rsid w:val="3C0165D0"/>
    <w:rsid w:val="3C0D1A01"/>
    <w:rsid w:val="3C1832DF"/>
    <w:rsid w:val="3C1D7D04"/>
    <w:rsid w:val="3C2F4ACA"/>
    <w:rsid w:val="3C353F33"/>
    <w:rsid w:val="3C5C33E5"/>
    <w:rsid w:val="3C5D3C4F"/>
    <w:rsid w:val="3C5F0E2E"/>
    <w:rsid w:val="3C5F3DC8"/>
    <w:rsid w:val="3C746DFB"/>
    <w:rsid w:val="3C9260C7"/>
    <w:rsid w:val="3C9E65CD"/>
    <w:rsid w:val="3CA7031E"/>
    <w:rsid w:val="3CCF0F6E"/>
    <w:rsid w:val="3CDB07AE"/>
    <w:rsid w:val="3CDC7007"/>
    <w:rsid w:val="3CDD5A81"/>
    <w:rsid w:val="3CE55646"/>
    <w:rsid w:val="3D1230BD"/>
    <w:rsid w:val="3D154912"/>
    <w:rsid w:val="3D1A5448"/>
    <w:rsid w:val="3D295740"/>
    <w:rsid w:val="3D2D7B8E"/>
    <w:rsid w:val="3D3659E4"/>
    <w:rsid w:val="3D464B66"/>
    <w:rsid w:val="3D474095"/>
    <w:rsid w:val="3D5B544A"/>
    <w:rsid w:val="3D630798"/>
    <w:rsid w:val="3D7442A2"/>
    <w:rsid w:val="3D7A7FC6"/>
    <w:rsid w:val="3D8438F5"/>
    <w:rsid w:val="3D891FB8"/>
    <w:rsid w:val="3DA43295"/>
    <w:rsid w:val="3DB159B2"/>
    <w:rsid w:val="3DB272D8"/>
    <w:rsid w:val="3DBF1E7D"/>
    <w:rsid w:val="3DCE24ED"/>
    <w:rsid w:val="3DDF2B68"/>
    <w:rsid w:val="3DE50366"/>
    <w:rsid w:val="3DFF127E"/>
    <w:rsid w:val="3E014244"/>
    <w:rsid w:val="3E05072E"/>
    <w:rsid w:val="3E0B2D85"/>
    <w:rsid w:val="3E16206F"/>
    <w:rsid w:val="3E277A87"/>
    <w:rsid w:val="3E2B7513"/>
    <w:rsid w:val="3E2B7626"/>
    <w:rsid w:val="3E2D328B"/>
    <w:rsid w:val="3E406979"/>
    <w:rsid w:val="3E4D29DB"/>
    <w:rsid w:val="3E5838DD"/>
    <w:rsid w:val="3E5C4AA2"/>
    <w:rsid w:val="3E726EC9"/>
    <w:rsid w:val="3E8E326B"/>
    <w:rsid w:val="3E951889"/>
    <w:rsid w:val="3E9629CF"/>
    <w:rsid w:val="3EA0134A"/>
    <w:rsid w:val="3EAE0324"/>
    <w:rsid w:val="3EB72B54"/>
    <w:rsid w:val="3EC3206C"/>
    <w:rsid w:val="3ECC7844"/>
    <w:rsid w:val="3ECD00BE"/>
    <w:rsid w:val="3EDF07E5"/>
    <w:rsid w:val="3EE91D44"/>
    <w:rsid w:val="3EED1E62"/>
    <w:rsid w:val="3EEE2F1C"/>
    <w:rsid w:val="3EF8449E"/>
    <w:rsid w:val="3F010273"/>
    <w:rsid w:val="3F096D0B"/>
    <w:rsid w:val="3F0B7179"/>
    <w:rsid w:val="3F151574"/>
    <w:rsid w:val="3F163D1F"/>
    <w:rsid w:val="3F1E4289"/>
    <w:rsid w:val="3F251D7D"/>
    <w:rsid w:val="3F42218F"/>
    <w:rsid w:val="3F474561"/>
    <w:rsid w:val="3F514B2D"/>
    <w:rsid w:val="3F557260"/>
    <w:rsid w:val="3F5D1B7A"/>
    <w:rsid w:val="3F667372"/>
    <w:rsid w:val="3F6D115F"/>
    <w:rsid w:val="3F724CCD"/>
    <w:rsid w:val="3F7722E4"/>
    <w:rsid w:val="3F7C5873"/>
    <w:rsid w:val="3F8B74A4"/>
    <w:rsid w:val="3F93128E"/>
    <w:rsid w:val="3F9335C1"/>
    <w:rsid w:val="3FA540B0"/>
    <w:rsid w:val="3FA541A9"/>
    <w:rsid w:val="3FEE76F8"/>
    <w:rsid w:val="3FF62B30"/>
    <w:rsid w:val="400310D8"/>
    <w:rsid w:val="40086AA5"/>
    <w:rsid w:val="400B22C6"/>
    <w:rsid w:val="400B75FC"/>
    <w:rsid w:val="400E0E9A"/>
    <w:rsid w:val="400E2C48"/>
    <w:rsid w:val="4014562F"/>
    <w:rsid w:val="401D24AF"/>
    <w:rsid w:val="402C78D5"/>
    <w:rsid w:val="40307BC9"/>
    <w:rsid w:val="40356427"/>
    <w:rsid w:val="403A0A27"/>
    <w:rsid w:val="403B1563"/>
    <w:rsid w:val="403D28E3"/>
    <w:rsid w:val="403F5E49"/>
    <w:rsid w:val="40430493"/>
    <w:rsid w:val="4048768D"/>
    <w:rsid w:val="40564EE7"/>
    <w:rsid w:val="405D0727"/>
    <w:rsid w:val="405E5CCB"/>
    <w:rsid w:val="406E3D2B"/>
    <w:rsid w:val="40714172"/>
    <w:rsid w:val="407F661D"/>
    <w:rsid w:val="408245ED"/>
    <w:rsid w:val="408641C7"/>
    <w:rsid w:val="40864295"/>
    <w:rsid w:val="40926379"/>
    <w:rsid w:val="409F45CB"/>
    <w:rsid w:val="40AC7A1C"/>
    <w:rsid w:val="40B90E06"/>
    <w:rsid w:val="40B94B83"/>
    <w:rsid w:val="40C319E2"/>
    <w:rsid w:val="40CD00BD"/>
    <w:rsid w:val="40D12495"/>
    <w:rsid w:val="40DC0019"/>
    <w:rsid w:val="40E31DD5"/>
    <w:rsid w:val="40E85247"/>
    <w:rsid w:val="40EF2A79"/>
    <w:rsid w:val="410C127B"/>
    <w:rsid w:val="41196606"/>
    <w:rsid w:val="41242B9C"/>
    <w:rsid w:val="412A1D04"/>
    <w:rsid w:val="41474664"/>
    <w:rsid w:val="41523008"/>
    <w:rsid w:val="415437EE"/>
    <w:rsid w:val="41546B10"/>
    <w:rsid w:val="41562AF9"/>
    <w:rsid w:val="41616C71"/>
    <w:rsid w:val="41676221"/>
    <w:rsid w:val="416C40CA"/>
    <w:rsid w:val="418238EE"/>
    <w:rsid w:val="419867DB"/>
    <w:rsid w:val="419D4283"/>
    <w:rsid w:val="41A51BAC"/>
    <w:rsid w:val="41B17F29"/>
    <w:rsid w:val="41B501A4"/>
    <w:rsid w:val="41CB3D94"/>
    <w:rsid w:val="41D614EA"/>
    <w:rsid w:val="41DC36BB"/>
    <w:rsid w:val="41F51BC5"/>
    <w:rsid w:val="41FA3484"/>
    <w:rsid w:val="41FB0356"/>
    <w:rsid w:val="42022339"/>
    <w:rsid w:val="42132FE7"/>
    <w:rsid w:val="421B648D"/>
    <w:rsid w:val="4220623E"/>
    <w:rsid w:val="4226071D"/>
    <w:rsid w:val="42271C7F"/>
    <w:rsid w:val="42330CE7"/>
    <w:rsid w:val="42355521"/>
    <w:rsid w:val="423821FE"/>
    <w:rsid w:val="4254392F"/>
    <w:rsid w:val="4285257D"/>
    <w:rsid w:val="42892644"/>
    <w:rsid w:val="428A7B32"/>
    <w:rsid w:val="429A7093"/>
    <w:rsid w:val="42A76B06"/>
    <w:rsid w:val="42A93909"/>
    <w:rsid w:val="42AD3562"/>
    <w:rsid w:val="42B71734"/>
    <w:rsid w:val="42B86941"/>
    <w:rsid w:val="42BC698B"/>
    <w:rsid w:val="42D02437"/>
    <w:rsid w:val="42D737C5"/>
    <w:rsid w:val="42DC7863"/>
    <w:rsid w:val="42E42D48"/>
    <w:rsid w:val="431920F3"/>
    <w:rsid w:val="431A3863"/>
    <w:rsid w:val="43223EC8"/>
    <w:rsid w:val="4329362C"/>
    <w:rsid w:val="433160C7"/>
    <w:rsid w:val="43410F50"/>
    <w:rsid w:val="43452E25"/>
    <w:rsid w:val="434770AF"/>
    <w:rsid w:val="434E1DB1"/>
    <w:rsid w:val="43536554"/>
    <w:rsid w:val="43537B5E"/>
    <w:rsid w:val="43556CA5"/>
    <w:rsid w:val="436C76AE"/>
    <w:rsid w:val="43710B5F"/>
    <w:rsid w:val="437F411E"/>
    <w:rsid w:val="43853221"/>
    <w:rsid w:val="438A541B"/>
    <w:rsid w:val="438F7452"/>
    <w:rsid w:val="43902568"/>
    <w:rsid w:val="43903286"/>
    <w:rsid w:val="43972F54"/>
    <w:rsid w:val="439B0B26"/>
    <w:rsid w:val="43A32A80"/>
    <w:rsid w:val="43AA2D86"/>
    <w:rsid w:val="43AD1BA2"/>
    <w:rsid w:val="43BA62BC"/>
    <w:rsid w:val="43C43746"/>
    <w:rsid w:val="43D16C6D"/>
    <w:rsid w:val="43E85F2B"/>
    <w:rsid w:val="43F30C80"/>
    <w:rsid w:val="43F45810"/>
    <w:rsid w:val="43F6778C"/>
    <w:rsid w:val="43F955DA"/>
    <w:rsid w:val="440452E5"/>
    <w:rsid w:val="44410337"/>
    <w:rsid w:val="446B0669"/>
    <w:rsid w:val="44727C49"/>
    <w:rsid w:val="44776BD6"/>
    <w:rsid w:val="44801914"/>
    <w:rsid w:val="44855C27"/>
    <w:rsid w:val="4491249F"/>
    <w:rsid w:val="44917E58"/>
    <w:rsid w:val="449A7A08"/>
    <w:rsid w:val="44CC3666"/>
    <w:rsid w:val="44F10492"/>
    <w:rsid w:val="44F370A9"/>
    <w:rsid w:val="44F6398F"/>
    <w:rsid w:val="44FC7513"/>
    <w:rsid w:val="44FD328B"/>
    <w:rsid w:val="4506106D"/>
    <w:rsid w:val="450B1B4F"/>
    <w:rsid w:val="45121B01"/>
    <w:rsid w:val="45154A79"/>
    <w:rsid w:val="451E1B7F"/>
    <w:rsid w:val="451F4814"/>
    <w:rsid w:val="45322415"/>
    <w:rsid w:val="453D27DA"/>
    <w:rsid w:val="453F6E28"/>
    <w:rsid w:val="45565EE6"/>
    <w:rsid w:val="45566CB6"/>
    <w:rsid w:val="456926CF"/>
    <w:rsid w:val="456D298D"/>
    <w:rsid w:val="456F5F37"/>
    <w:rsid w:val="458F0387"/>
    <w:rsid w:val="458F3DA1"/>
    <w:rsid w:val="45912351"/>
    <w:rsid w:val="45962409"/>
    <w:rsid w:val="45965BB9"/>
    <w:rsid w:val="45981F3C"/>
    <w:rsid w:val="45991206"/>
    <w:rsid w:val="45A03F59"/>
    <w:rsid w:val="45A831F7"/>
    <w:rsid w:val="45B34405"/>
    <w:rsid w:val="45C07A37"/>
    <w:rsid w:val="45CD7101"/>
    <w:rsid w:val="45D160A9"/>
    <w:rsid w:val="45D87924"/>
    <w:rsid w:val="45EE1552"/>
    <w:rsid w:val="461D64FB"/>
    <w:rsid w:val="463648E9"/>
    <w:rsid w:val="464253F9"/>
    <w:rsid w:val="46491939"/>
    <w:rsid w:val="466247F2"/>
    <w:rsid w:val="46696E2A"/>
    <w:rsid w:val="46873754"/>
    <w:rsid w:val="468A6DA0"/>
    <w:rsid w:val="469203F9"/>
    <w:rsid w:val="46A51334"/>
    <w:rsid w:val="46A9225B"/>
    <w:rsid w:val="46C92EF6"/>
    <w:rsid w:val="46CA5F1E"/>
    <w:rsid w:val="46CE23DF"/>
    <w:rsid w:val="46E62384"/>
    <w:rsid w:val="46E7395C"/>
    <w:rsid w:val="47037071"/>
    <w:rsid w:val="4707219F"/>
    <w:rsid w:val="470B47A3"/>
    <w:rsid w:val="47166879"/>
    <w:rsid w:val="47186BFB"/>
    <w:rsid w:val="47207C7B"/>
    <w:rsid w:val="472E6063"/>
    <w:rsid w:val="473158DD"/>
    <w:rsid w:val="47486A40"/>
    <w:rsid w:val="475A0F43"/>
    <w:rsid w:val="47685B93"/>
    <w:rsid w:val="477261B2"/>
    <w:rsid w:val="477E6905"/>
    <w:rsid w:val="47906312"/>
    <w:rsid w:val="479C6D1F"/>
    <w:rsid w:val="47A12458"/>
    <w:rsid w:val="47AE7E19"/>
    <w:rsid w:val="47B17848"/>
    <w:rsid w:val="47C46F79"/>
    <w:rsid w:val="47D1249A"/>
    <w:rsid w:val="47D14E3C"/>
    <w:rsid w:val="47E35884"/>
    <w:rsid w:val="47E8201B"/>
    <w:rsid w:val="48151DFF"/>
    <w:rsid w:val="48223734"/>
    <w:rsid w:val="482A25E9"/>
    <w:rsid w:val="482B71EF"/>
    <w:rsid w:val="48383643"/>
    <w:rsid w:val="48463DC2"/>
    <w:rsid w:val="48482514"/>
    <w:rsid w:val="485737AE"/>
    <w:rsid w:val="48604DA3"/>
    <w:rsid w:val="486050DE"/>
    <w:rsid w:val="486176F0"/>
    <w:rsid w:val="48691363"/>
    <w:rsid w:val="48701EA5"/>
    <w:rsid w:val="487A6E4A"/>
    <w:rsid w:val="487E2BAF"/>
    <w:rsid w:val="487F6A9B"/>
    <w:rsid w:val="48947BBD"/>
    <w:rsid w:val="489850F6"/>
    <w:rsid w:val="48A25E13"/>
    <w:rsid w:val="48AE6D76"/>
    <w:rsid w:val="48AF018B"/>
    <w:rsid w:val="48B523EF"/>
    <w:rsid w:val="48B87AB8"/>
    <w:rsid w:val="48BB132D"/>
    <w:rsid w:val="48BC31D4"/>
    <w:rsid w:val="48BF5427"/>
    <w:rsid w:val="48C2431F"/>
    <w:rsid w:val="48C578F3"/>
    <w:rsid w:val="48CA52B0"/>
    <w:rsid w:val="48CB4577"/>
    <w:rsid w:val="48DD3AFF"/>
    <w:rsid w:val="48DD7B03"/>
    <w:rsid w:val="48E62612"/>
    <w:rsid w:val="48E629B4"/>
    <w:rsid w:val="48EA5BC1"/>
    <w:rsid w:val="48F6071D"/>
    <w:rsid w:val="48FF3FE4"/>
    <w:rsid w:val="490648C8"/>
    <w:rsid w:val="490F1EEF"/>
    <w:rsid w:val="49180A9B"/>
    <w:rsid w:val="491C2C2F"/>
    <w:rsid w:val="49276855"/>
    <w:rsid w:val="492E7EB7"/>
    <w:rsid w:val="493556E9"/>
    <w:rsid w:val="49382AE4"/>
    <w:rsid w:val="49482783"/>
    <w:rsid w:val="494F3168"/>
    <w:rsid w:val="49554BE1"/>
    <w:rsid w:val="496A6BED"/>
    <w:rsid w:val="49710949"/>
    <w:rsid w:val="49731BCB"/>
    <w:rsid w:val="497467A8"/>
    <w:rsid w:val="49843E14"/>
    <w:rsid w:val="49AA0075"/>
    <w:rsid w:val="49C65640"/>
    <w:rsid w:val="49D97E23"/>
    <w:rsid w:val="49DA3B9B"/>
    <w:rsid w:val="49E30CA1"/>
    <w:rsid w:val="49EC7A1D"/>
    <w:rsid w:val="49F27137"/>
    <w:rsid w:val="49F570D9"/>
    <w:rsid w:val="49F66C27"/>
    <w:rsid w:val="4A0062BB"/>
    <w:rsid w:val="4A121587"/>
    <w:rsid w:val="4A196E79"/>
    <w:rsid w:val="4A235A4E"/>
    <w:rsid w:val="4A24383D"/>
    <w:rsid w:val="4A3140D8"/>
    <w:rsid w:val="4A482FDB"/>
    <w:rsid w:val="4A535A86"/>
    <w:rsid w:val="4A54703F"/>
    <w:rsid w:val="4A5804B6"/>
    <w:rsid w:val="4A5B3A9F"/>
    <w:rsid w:val="4A5E2A1E"/>
    <w:rsid w:val="4A677F4D"/>
    <w:rsid w:val="4A6D7FA4"/>
    <w:rsid w:val="4A811696"/>
    <w:rsid w:val="4A9944E9"/>
    <w:rsid w:val="4AA448D5"/>
    <w:rsid w:val="4AAB03DA"/>
    <w:rsid w:val="4AB84FEA"/>
    <w:rsid w:val="4ABA448F"/>
    <w:rsid w:val="4ABC61FC"/>
    <w:rsid w:val="4AC34A65"/>
    <w:rsid w:val="4AC565F9"/>
    <w:rsid w:val="4AD07993"/>
    <w:rsid w:val="4AD55B10"/>
    <w:rsid w:val="4AEF09B8"/>
    <w:rsid w:val="4AF74ADD"/>
    <w:rsid w:val="4B1923E5"/>
    <w:rsid w:val="4B1B7074"/>
    <w:rsid w:val="4B1C0A43"/>
    <w:rsid w:val="4B2A41AA"/>
    <w:rsid w:val="4B3454E4"/>
    <w:rsid w:val="4B3C29B6"/>
    <w:rsid w:val="4B3F79B7"/>
    <w:rsid w:val="4B423440"/>
    <w:rsid w:val="4B5861CE"/>
    <w:rsid w:val="4B5C51AF"/>
    <w:rsid w:val="4B682440"/>
    <w:rsid w:val="4B6A1BE3"/>
    <w:rsid w:val="4B7C13AE"/>
    <w:rsid w:val="4B7E7695"/>
    <w:rsid w:val="4B811092"/>
    <w:rsid w:val="4B8926B1"/>
    <w:rsid w:val="4B8D20F8"/>
    <w:rsid w:val="4BA72512"/>
    <w:rsid w:val="4BB27645"/>
    <w:rsid w:val="4BB5041C"/>
    <w:rsid w:val="4BB943B0"/>
    <w:rsid w:val="4BBC5AC7"/>
    <w:rsid w:val="4BC3109F"/>
    <w:rsid w:val="4BC36FDC"/>
    <w:rsid w:val="4BC44E0D"/>
    <w:rsid w:val="4BC66ACD"/>
    <w:rsid w:val="4BD034A7"/>
    <w:rsid w:val="4BD048BE"/>
    <w:rsid w:val="4BF37E67"/>
    <w:rsid w:val="4BF5144B"/>
    <w:rsid w:val="4BFF0BB9"/>
    <w:rsid w:val="4C080E93"/>
    <w:rsid w:val="4C0B2731"/>
    <w:rsid w:val="4C156BCA"/>
    <w:rsid w:val="4C2B3759"/>
    <w:rsid w:val="4C4049B1"/>
    <w:rsid w:val="4C581C45"/>
    <w:rsid w:val="4C623ADB"/>
    <w:rsid w:val="4C6961C6"/>
    <w:rsid w:val="4C6D5A2A"/>
    <w:rsid w:val="4C767B34"/>
    <w:rsid w:val="4C7A1154"/>
    <w:rsid w:val="4C7B56E2"/>
    <w:rsid w:val="4C7D362F"/>
    <w:rsid w:val="4C7E1155"/>
    <w:rsid w:val="4C7E73A7"/>
    <w:rsid w:val="4C8554DD"/>
    <w:rsid w:val="4C910849"/>
    <w:rsid w:val="4C942475"/>
    <w:rsid w:val="4C9C159D"/>
    <w:rsid w:val="4CA2142F"/>
    <w:rsid w:val="4CB6655C"/>
    <w:rsid w:val="4CB73E4F"/>
    <w:rsid w:val="4CC329A2"/>
    <w:rsid w:val="4CE44D9F"/>
    <w:rsid w:val="4CEA5226"/>
    <w:rsid w:val="4D016156"/>
    <w:rsid w:val="4D0258E3"/>
    <w:rsid w:val="4D0D0E37"/>
    <w:rsid w:val="4D113D78"/>
    <w:rsid w:val="4D14442F"/>
    <w:rsid w:val="4D16603F"/>
    <w:rsid w:val="4D1D16ED"/>
    <w:rsid w:val="4D4B227E"/>
    <w:rsid w:val="4D5C1497"/>
    <w:rsid w:val="4D5E4583"/>
    <w:rsid w:val="4D6B3488"/>
    <w:rsid w:val="4D6C24D0"/>
    <w:rsid w:val="4D721F65"/>
    <w:rsid w:val="4D783DF7"/>
    <w:rsid w:val="4D7A21FD"/>
    <w:rsid w:val="4D82460E"/>
    <w:rsid w:val="4D9146B3"/>
    <w:rsid w:val="4D9549A9"/>
    <w:rsid w:val="4D97249F"/>
    <w:rsid w:val="4DA35BE5"/>
    <w:rsid w:val="4DAC62C6"/>
    <w:rsid w:val="4DBB187B"/>
    <w:rsid w:val="4DDE3611"/>
    <w:rsid w:val="4DDE36D5"/>
    <w:rsid w:val="4DF27608"/>
    <w:rsid w:val="4E065795"/>
    <w:rsid w:val="4E070B9A"/>
    <w:rsid w:val="4E121D51"/>
    <w:rsid w:val="4E131F3A"/>
    <w:rsid w:val="4E1C7C1C"/>
    <w:rsid w:val="4E331A18"/>
    <w:rsid w:val="4E375A60"/>
    <w:rsid w:val="4E537920"/>
    <w:rsid w:val="4E555954"/>
    <w:rsid w:val="4E675990"/>
    <w:rsid w:val="4E721B60"/>
    <w:rsid w:val="4E734F8F"/>
    <w:rsid w:val="4E772300"/>
    <w:rsid w:val="4E821769"/>
    <w:rsid w:val="4E931D00"/>
    <w:rsid w:val="4E9327BD"/>
    <w:rsid w:val="4EA67795"/>
    <w:rsid w:val="4EAF48AA"/>
    <w:rsid w:val="4EC015B1"/>
    <w:rsid w:val="4EC12182"/>
    <w:rsid w:val="4EC512BE"/>
    <w:rsid w:val="4EDA5E36"/>
    <w:rsid w:val="4EEE723C"/>
    <w:rsid w:val="4EF320A0"/>
    <w:rsid w:val="4F094A9E"/>
    <w:rsid w:val="4F167659"/>
    <w:rsid w:val="4F1D57EB"/>
    <w:rsid w:val="4F2A39EC"/>
    <w:rsid w:val="4F311B14"/>
    <w:rsid w:val="4F321354"/>
    <w:rsid w:val="4F327331"/>
    <w:rsid w:val="4F4A5EB6"/>
    <w:rsid w:val="4F5368C9"/>
    <w:rsid w:val="4F5979CB"/>
    <w:rsid w:val="4F5F49C4"/>
    <w:rsid w:val="4F766114"/>
    <w:rsid w:val="4F7C39A7"/>
    <w:rsid w:val="4F8E136D"/>
    <w:rsid w:val="4F920444"/>
    <w:rsid w:val="4FA51312"/>
    <w:rsid w:val="4FA64C4B"/>
    <w:rsid w:val="4FB47FD6"/>
    <w:rsid w:val="4FBA5581"/>
    <w:rsid w:val="4FBA60A3"/>
    <w:rsid w:val="4FC3320E"/>
    <w:rsid w:val="4FC864A4"/>
    <w:rsid w:val="4FC9420B"/>
    <w:rsid w:val="4FDE13FD"/>
    <w:rsid w:val="4FE5239D"/>
    <w:rsid w:val="4FEA269F"/>
    <w:rsid w:val="4FF0487B"/>
    <w:rsid w:val="4FF25FC4"/>
    <w:rsid w:val="4FF560AB"/>
    <w:rsid w:val="5004520D"/>
    <w:rsid w:val="50130483"/>
    <w:rsid w:val="50157ED0"/>
    <w:rsid w:val="502A714C"/>
    <w:rsid w:val="50357D7D"/>
    <w:rsid w:val="50377F99"/>
    <w:rsid w:val="5044508F"/>
    <w:rsid w:val="50521378"/>
    <w:rsid w:val="505722FA"/>
    <w:rsid w:val="50700DB5"/>
    <w:rsid w:val="50720FD1"/>
    <w:rsid w:val="50811214"/>
    <w:rsid w:val="50852AB2"/>
    <w:rsid w:val="508532B7"/>
    <w:rsid w:val="508710FB"/>
    <w:rsid w:val="509C7DFC"/>
    <w:rsid w:val="50A02428"/>
    <w:rsid w:val="50A310A9"/>
    <w:rsid w:val="50A62359"/>
    <w:rsid w:val="50AF7A56"/>
    <w:rsid w:val="50C80BF1"/>
    <w:rsid w:val="50CC3A85"/>
    <w:rsid w:val="50CF3D2E"/>
    <w:rsid w:val="50D457E8"/>
    <w:rsid w:val="50F051B9"/>
    <w:rsid w:val="50F33EC0"/>
    <w:rsid w:val="50FF48D0"/>
    <w:rsid w:val="51260B6A"/>
    <w:rsid w:val="514B3F6A"/>
    <w:rsid w:val="5150517C"/>
    <w:rsid w:val="515669E7"/>
    <w:rsid w:val="5167040A"/>
    <w:rsid w:val="516A4ADC"/>
    <w:rsid w:val="5172656E"/>
    <w:rsid w:val="51880507"/>
    <w:rsid w:val="518813FC"/>
    <w:rsid w:val="51A62D85"/>
    <w:rsid w:val="51AA5240"/>
    <w:rsid w:val="51B855E6"/>
    <w:rsid w:val="51BA263B"/>
    <w:rsid w:val="51CC64BF"/>
    <w:rsid w:val="51DA64ED"/>
    <w:rsid w:val="51E8486B"/>
    <w:rsid w:val="51EF6702"/>
    <w:rsid w:val="51F21DCD"/>
    <w:rsid w:val="51F67DA1"/>
    <w:rsid w:val="51FD0BB6"/>
    <w:rsid w:val="520A6C76"/>
    <w:rsid w:val="520C5713"/>
    <w:rsid w:val="521F0CE5"/>
    <w:rsid w:val="5224454D"/>
    <w:rsid w:val="5227192A"/>
    <w:rsid w:val="52320A18"/>
    <w:rsid w:val="52391DB4"/>
    <w:rsid w:val="523B771C"/>
    <w:rsid w:val="523F4EE3"/>
    <w:rsid w:val="524546A2"/>
    <w:rsid w:val="5247354A"/>
    <w:rsid w:val="526A11AC"/>
    <w:rsid w:val="526B7928"/>
    <w:rsid w:val="526D6907"/>
    <w:rsid w:val="527C758B"/>
    <w:rsid w:val="527E556C"/>
    <w:rsid w:val="52AD718C"/>
    <w:rsid w:val="52B96A43"/>
    <w:rsid w:val="52C02D79"/>
    <w:rsid w:val="52CA7A38"/>
    <w:rsid w:val="52CE17AF"/>
    <w:rsid w:val="52D23FA9"/>
    <w:rsid w:val="52D41ACF"/>
    <w:rsid w:val="52E431D7"/>
    <w:rsid w:val="52E502A3"/>
    <w:rsid w:val="52EB483D"/>
    <w:rsid w:val="52ED6537"/>
    <w:rsid w:val="52EF3D6F"/>
    <w:rsid w:val="52F537F4"/>
    <w:rsid w:val="52FE35FA"/>
    <w:rsid w:val="5300759F"/>
    <w:rsid w:val="530321A3"/>
    <w:rsid w:val="530A48DD"/>
    <w:rsid w:val="530D6D8F"/>
    <w:rsid w:val="531A55EE"/>
    <w:rsid w:val="531C00D0"/>
    <w:rsid w:val="53206076"/>
    <w:rsid w:val="53271025"/>
    <w:rsid w:val="53353F57"/>
    <w:rsid w:val="53364538"/>
    <w:rsid w:val="533A4B08"/>
    <w:rsid w:val="53486019"/>
    <w:rsid w:val="535022B4"/>
    <w:rsid w:val="535075B2"/>
    <w:rsid w:val="53536636"/>
    <w:rsid w:val="535A55E1"/>
    <w:rsid w:val="535C1828"/>
    <w:rsid w:val="53672943"/>
    <w:rsid w:val="536A41E2"/>
    <w:rsid w:val="536C0605"/>
    <w:rsid w:val="536E636E"/>
    <w:rsid w:val="53794684"/>
    <w:rsid w:val="537C1E10"/>
    <w:rsid w:val="537D1A12"/>
    <w:rsid w:val="539354E6"/>
    <w:rsid w:val="53B631FA"/>
    <w:rsid w:val="53C11F3C"/>
    <w:rsid w:val="53D37FD9"/>
    <w:rsid w:val="53E247E6"/>
    <w:rsid w:val="53E2599D"/>
    <w:rsid w:val="53EB7D0C"/>
    <w:rsid w:val="53FA5565"/>
    <w:rsid w:val="54103A28"/>
    <w:rsid w:val="541D1254"/>
    <w:rsid w:val="54206BAB"/>
    <w:rsid w:val="54222492"/>
    <w:rsid w:val="542757CF"/>
    <w:rsid w:val="54284497"/>
    <w:rsid w:val="542C6F5C"/>
    <w:rsid w:val="542D3B70"/>
    <w:rsid w:val="543433F6"/>
    <w:rsid w:val="5445347D"/>
    <w:rsid w:val="54454DCE"/>
    <w:rsid w:val="5445601B"/>
    <w:rsid w:val="54525277"/>
    <w:rsid w:val="54624EB9"/>
    <w:rsid w:val="54692B85"/>
    <w:rsid w:val="546B4888"/>
    <w:rsid w:val="546C31A2"/>
    <w:rsid w:val="54780C2F"/>
    <w:rsid w:val="548573BB"/>
    <w:rsid w:val="548E627B"/>
    <w:rsid w:val="54A53D7C"/>
    <w:rsid w:val="54C14E3F"/>
    <w:rsid w:val="54C806BA"/>
    <w:rsid w:val="54CC7AC8"/>
    <w:rsid w:val="54D827E0"/>
    <w:rsid w:val="54DA272A"/>
    <w:rsid w:val="54DB06F3"/>
    <w:rsid w:val="54EA7EC3"/>
    <w:rsid w:val="54EE4DDD"/>
    <w:rsid w:val="54F1026B"/>
    <w:rsid w:val="54F1103D"/>
    <w:rsid w:val="54F13CA4"/>
    <w:rsid w:val="54F25C8B"/>
    <w:rsid w:val="54FE4633"/>
    <w:rsid w:val="55055F70"/>
    <w:rsid w:val="5532240D"/>
    <w:rsid w:val="553739C0"/>
    <w:rsid w:val="55450A62"/>
    <w:rsid w:val="554F1507"/>
    <w:rsid w:val="55582538"/>
    <w:rsid w:val="555F65A5"/>
    <w:rsid w:val="5564034E"/>
    <w:rsid w:val="5565489D"/>
    <w:rsid w:val="556A56B6"/>
    <w:rsid w:val="556E5D90"/>
    <w:rsid w:val="557720C7"/>
    <w:rsid w:val="5578134A"/>
    <w:rsid w:val="557E6181"/>
    <w:rsid w:val="55A02195"/>
    <w:rsid w:val="55A41C2D"/>
    <w:rsid w:val="55A75279"/>
    <w:rsid w:val="55A81B76"/>
    <w:rsid w:val="55B31E70"/>
    <w:rsid w:val="55C36183"/>
    <w:rsid w:val="55C73193"/>
    <w:rsid w:val="55C961B4"/>
    <w:rsid w:val="55DA38A0"/>
    <w:rsid w:val="55DB13C7"/>
    <w:rsid w:val="55F221C8"/>
    <w:rsid w:val="55F2604B"/>
    <w:rsid w:val="55F7482D"/>
    <w:rsid w:val="55F74830"/>
    <w:rsid w:val="56026953"/>
    <w:rsid w:val="56096C1E"/>
    <w:rsid w:val="56144780"/>
    <w:rsid w:val="5622420A"/>
    <w:rsid w:val="56276C37"/>
    <w:rsid w:val="562D6668"/>
    <w:rsid w:val="5637264E"/>
    <w:rsid w:val="563945B3"/>
    <w:rsid w:val="563F0D72"/>
    <w:rsid w:val="56444AB4"/>
    <w:rsid w:val="56452BCB"/>
    <w:rsid w:val="566025B8"/>
    <w:rsid w:val="56603417"/>
    <w:rsid w:val="566748DD"/>
    <w:rsid w:val="56837A94"/>
    <w:rsid w:val="56921A85"/>
    <w:rsid w:val="569C2AFB"/>
    <w:rsid w:val="56A3593F"/>
    <w:rsid w:val="56AB6D07"/>
    <w:rsid w:val="56AD2D63"/>
    <w:rsid w:val="56D402F0"/>
    <w:rsid w:val="56D94391"/>
    <w:rsid w:val="56E01FD3"/>
    <w:rsid w:val="5700114D"/>
    <w:rsid w:val="57041072"/>
    <w:rsid w:val="570C4656"/>
    <w:rsid w:val="57174680"/>
    <w:rsid w:val="572E1E43"/>
    <w:rsid w:val="5735698D"/>
    <w:rsid w:val="573F1A51"/>
    <w:rsid w:val="574E4D83"/>
    <w:rsid w:val="575718DC"/>
    <w:rsid w:val="57694C35"/>
    <w:rsid w:val="576A3D56"/>
    <w:rsid w:val="5774402B"/>
    <w:rsid w:val="577F4CE4"/>
    <w:rsid w:val="57A05711"/>
    <w:rsid w:val="57A16CEB"/>
    <w:rsid w:val="57AB105E"/>
    <w:rsid w:val="57B679F5"/>
    <w:rsid w:val="57B87ECB"/>
    <w:rsid w:val="57C00175"/>
    <w:rsid w:val="57C33EC0"/>
    <w:rsid w:val="57DB5B54"/>
    <w:rsid w:val="57E15E8A"/>
    <w:rsid w:val="57F50835"/>
    <w:rsid w:val="58005114"/>
    <w:rsid w:val="581D5CC6"/>
    <w:rsid w:val="582818A8"/>
    <w:rsid w:val="5830221D"/>
    <w:rsid w:val="583161A3"/>
    <w:rsid w:val="58337D56"/>
    <w:rsid w:val="583B614D"/>
    <w:rsid w:val="583E2172"/>
    <w:rsid w:val="5853793A"/>
    <w:rsid w:val="585A69C8"/>
    <w:rsid w:val="585F7703"/>
    <w:rsid w:val="586466E1"/>
    <w:rsid w:val="586618D3"/>
    <w:rsid w:val="586B4C84"/>
    <w:rsid w:val="586C3850"/>
    <w:rsid w:val="58746BD9"/>
    <w:rsid w:val="587F24DD"/>
    <w:rsid w:val="58841452"/>
    <w:rsid w:val="588E2720"/>
    <w:rsid w:val="589B4229"/>
    <w:rsid w:val="58AD53C5"/>
    <w:rsid w:val="58B531C5"/>
    <w:rsid w:val="58BC5126"/>
    <w:rsid w:val="58DB6D15"/>
    <w:rsid w:val="58FF22DB"/>
    <w:rsid w:val="590A2C81"/>
    <w:rsid w:val="590B7C9C"/>
    <w:rsid w:val="5915074C"/>
    <w:rsid w:val="59195665"/>
    <w:rsid w:val="591A49CA"/>
    <w:rsid w:val="59257140"/>
    <w:rsid w:val="592738E1"/>
    <w:rsid w:val="59305585"/>
    <w:rsid w:val="59361550"/>
    <w:rsid w:val="5947124D"/>
    <w:rsid w:val="595C637A"/>
    <w:rsid w:val="59653481"/>
    <w:rsid w:val="5973527B"/>
    <w:rsid w:val="59753252"/>
    <w:rsid w:val="59786A09"/>
    <w:rsid w:val="597914B4"/>
    <w:rsid w:val="598729A5"/>
    <w:rsid w:val="599124C8"/>
    <w:rsid w:val="599B3347"/>
    <w:rsid w:val="59A01D23"/>
    <w:rsid w:val="59A12B57"/>
    <w:rsid w:val="59A87D08"/>
    <w:rsid w:val="59B17140"/>
    <w:rsid w:val="59B43525"/>
    <w:rsid w:val="59B678AD"/>
    <w:rsid w:val="59BA0642"/>
    <w:rsid w:val="59C33FA5"/>
    <w:rsid w:val="59C356A8"/>
    <w:rsid w:val="59C61D34"/>
    <w:rsid w:val="59CF1242"/>
    <w:rsid w:val="59F94AC0"/>
    <w:rsid w:val="59FE6DC7"/>
    <w:rsid w:val="5A013D74"/>
    <w:rsid w:val="5A0802B0"/>
    <w:rsid w:val="5A0C1B4F"/>
    <w:rsid w:val="5A0F6902"/>
    <w:rsid w:val="5A0F707A"/>
    <w:rsid w:val="5A137B38"/>
    <w:rsid w:val="5A1E1882"/>
    <w:rsid w:val="5A2304D9"/>
    <w:rsid w:val="5A3022F6"/>
    <w:rsid w:val="5A35111C"/>
    <w:rsid w:val="5A357F97"/>
    <w:rsid w:val="5A3B5FA0"/>
    <w:rsid w:val="5A47702B"/>
    <w:rsid w:val="5A4F5EDF"/>
    <w:rsid w:val="5A7029DE"/>
    <w:rsid w:val="5A79768C"/>
    <w:rsid w:val="5A7D778E"/>
    <w:rsid w:val="5A830771"/>
    <w:rsid w:val="5A8A4D39"/>
    <w:rsid w:val="5A8D5B3C"/>
    <w:rsid w:val="5A900A91"/>
    <w:rsid w:val="5A911684"/>
    <w:rsid w:val="5A955FE8"/>
    <w:rsid w:val="5A971D60"/>
    <w:rsid w:val="5A987886"/>
    <w:rsid w:val="5AA4622B"/>
    <w:rsid w:val="5AA71877"/>
    <w:rsid w:val="5AAB2214"/>
    <w:rsid w:val="5AAC5656"/>
    <w:rsid w:val="5AAC58EC"/>
    <w:rsid w:val="5AAE0E58"/>
    <w:rsid w:val="5AAE2C06"/>
    <w:rsid w:val="5AB61502"/>
    <w:rsid w:val="5AB660D5"/>
    <w:rsid w:val="5ADC59C5"/>
    <w:rsid w:val="5AE20B01"/>
    <w:rsid w:val="5AE76118"/>
    <w:rsid w:val="5AEB6539"/>
    <w:rsid w:val="5AF34ABD"/>
    <w:rsid w:val="5B101A24"/>
    <w:rsid w:val="5B162D21"/>
    <w:rsid w:val="5B4041A6"/>
    <w:rsid w:val="5B466CB4"/>
    <w:rsid w:val="5B52424E"/>
    <w:rsid w:val="5B547C51"/>
    <w:rsid w:val="5B5D4D68"/>
    <w:rsid w:val="5B607464"/>
    <w:rsid w:val="5B6836FC"/>
    <w:rsid w:val="5B8B5DF2"/>
    <w:rsid w:val="5B935248"/>
    <w:rsid w:val="5B94004E"/>
    <w:rsid w:val="5B962018"/>
    <w:rsid w:val="5B9938B6"/>
    <w:rsid w:val="5B9B5880"/>
    <w:rsid w:val="5BAD55B3"/>
    <w:rsid w:val="5BCD355F"/>
    <w:rsid w:val="5BDE5E3D"/>
    <w:rsid w:val="5BED775E"/>
    <w:rsid w:val="5BF5277C"/>
    <w:rsid w:val="5BFA12D2"/>
    <w:rsid w:val="5BFE196B"/>
    <w:rsid w:val="5C050F4B"/>
    <w:rsid w:val="5C05719D"/>
    <w:rsid w:val="5C1318BA"/>
    <w:rsid w:val="5C2102D0"/>
    <w:rsid w:val="5C2E04A2"/>
    <w:rsid w:val="5C304591"/>
    <w:rsid w:val="5C356C4B"/>
    <w:rsid w:val="5C3706D2"/>
    <w:rsid w:val="5C384E7D"/>
    <w:rsid w:val="5C3977B6"/>
    <w:rsid w:val="5C3A119E"/>
    <w:rsid w:val="5C42409E"/>
    <w:rsid w:val="5C4F2412"/>
    <w:rsid w:val="5C525071"/>
    <w:rsid w:val="5C593AC2"/>
    <w:rsid w:val="5C62014C"/>
    <w:rsid w:val="5C685E55"/>
    <w:rsid w:val="5C6A7000"/>
    <w:rsid w:val="5C7834CB"/>
    <w:rsid w:val="5C902059"/>
    <w:rsid w:val="5C98714B"/>
    <w:rsid w:val="5C9D2289"/>
    <w:rsid w:val="5CA415FB"/>
    <w:rsid w:val="5CC23BA2"/>
    <w:rsid w:val="5CD0702B"/>
    <w:rsid w:val="5CD64696"/>
    <w:rsid w:val="5CE1177F"/>
    <w:rsid w:val="5CE15956"/>
    <w:rsid w:val="5CF3349A"/>
    <w:rsid w:val="5CF44AE0"/>
    <w:rsid w:val="5D0C34A9"/>
    <w:rsid w:val="5D0D6309"/>
    <w:rsid w:val="5D1458EA"/>
    <w:rsid w:val="5D235B2D"/>
    <w:rsid w:val="5D2672BC"/>
    <w:rsid w:val="5D27532B"/>
    <w:rsid w:val="5D327B1E"/>
    <w:rsid w:val="5D3E051F"/>
    <w:rsid w:val="5D441E39"/>
    <w:rsid w:val="5D584A99"/>
    <w:rsid w:val="5D5C4B9B"/>
    <w:rsid w:val="5D613BCB"/>
    <w:rsid w:val="5D6250B4"/>
    <w:rsid w:val="5D876A04"/>
    <w:rsid w:val="5D8F289A"/>
    <w:rsid w:val="5D943DC1"/>
    <w:rsid w:val="5DA34FE8"/>
    <w:rsid w:val="5DA87DE0"/>
    <w:rsid w:val="5DAF3EB2"/>
    <w:rsid w:val="5DBE13B2"/>
    <w:rsid w:val="5DC15346"/>
    <w:rsid w:val="5DC170F4"/>
    <w:rsid w:val="5DC22E70"/>
    <w:rsid w:val="5DC4247C"/>
    <w:rsid w:val="5DC7223B"/>
    <w:rsid w:val="5DDC146F"/>
    <w:rsid w:val="5DFD07C0"/>
    <w:rsid w:val="5E041FD8"/>
    <w:rsid w:val="5E127071"/>
    <w:rsid w:val="5E1611EE"/>
    <w:rsid w:val="5E1704AA"/>
    <w:rsid w:val="5E18474A"/>
    <w:rsid w:val="5E1E3878"/>
    <w:rsid w:val="5E2F35DF"/>
    <w:rsid w:val="5E427006"/>
    <w:rsid w:val="5E4A3516"/>
    <w:rsid w:val="5E4C4C10"/>
    <w:rsid w:val="5E4C6BBC"/>
    <w:rsid w:val="5E545207"/>
    <w:rsid w:val="5E5764A3"/>
    <w:rsid w:val="5E60047B"/>
    <w:rsid w:val="5E7C38CA"/>
    <w:rsid w:val="5E8124A0"/>
    <w:rsid w:val="5E8E26A4"/>
    <w:rsid w:val="5EA902B4"/>
    <w:rsid w:val="5EAB402C"/>
    <w:rsid w:val="5EAE7678"/>
    <w:rsid w:val="5EB2314A"/>
    <w:rsid w:val="5EB56C59"/>
    <w:rsid w:val="5EC648CD"/>
    <w:rsid w:val="5EE20946"/>
    <w:rsid w:val="5EFA18BB"/>
    <w:rsid w:val="5EFF1C82"/>
    <w:rsid w:val="5F0D1098"/>
    <w:rsid w:val="5F0F19B8"/>
    <w:rsid w:val="5F27521E"/>
    <w:rsid w:val="5F3608F5"/>
    <w:rsid w:val="5F3D00E1"/>
    <w:rsid w:val="5F3D3985"/>
    <w:rsid w:val="5F561124"/>
    <w:rsid w:val="5F5E28DD"/>
    <w:rsid w:val="5F6076AF"/>
    <w:rsid w:val="5F795F2D"/>
    <w:rsid w:val="5F7F7F09"/>
    <w:rsid w:val="5F922535"/>
    <w:rsid w:val="5F973A30"/>
    <w:rsid w:val="5FA01B9B"/>
    <w:rsid w:val="5FA865BC"/>
    <w:rsid w:val="5FB4701C"/>
    <w:rsid w:val="5FB54A36"/>
    <w:rsid w:val="5FC34143"/>
    <w:rsid w:val="5FEF48C7"/>
    <w:rsid w:val="5FF078FF"/>
    <w:rsid w:val="5FF92B75"/>
    <w:rsid w:val="600379A1"/>
    <w:rsid w:val="60136F65"/>
    <w:rsid w:val="601F4A3C"/>
    <w:rsid w:val="6025396A"/>
    <w:rsid w:val="60286647"/>
    <w:rsid w:val="602B3912"/>
    <w:rsid w:val="602C265E"/>
    <w:rsid w:val="60494C8A"/>
    <w:rsid w:val="60580360"/>
    <w:rsid w:val="60624553"/>
    <w:rsid w:val="606359E6"/>
    <w:rsid w:val="606E745A"/>
    <w:rsid w:val="607526B4"/>
    <w:rsid w:val="6084377A"/>
    <w:rsid w:val="60A24FBB"/>
    <w:rsid w:val="60A521A0"/>
    <w:rsid w:val="60BB348D"/>
    <w:rsid w:val="60C33FC4"/>
    <w:rsid w:val="60C72C73"/>
    <w:rsid w:val="60D63B2E"/>
    <w:rsid w:val="60DF1D6B"/>
    <w:rsid w:val="60E277A8"/>
    <w:rsid w:val="60E65FC9"/>
    <w:rsid w:val="60EA66DE"/>
    <w:rsid w:val="61050A04"/>
    <w:rsid w:val="61054FD7"/>
    <w:rsid w:val="61066AA3"/>
    <w:rsid w:val="61113EEE"/>
    <w:rsid w:val="61177312"/>
    <w:rsid w:val="61251748"/>
    <w:rsid w:val="61377DF9"/>
    <w:rsid w:val="6145155F"/>
    <w:rsid w:val="614E0C9F"/>
    <w:rsid w:val="61520175"/>
    <w:rsid w:val="61614E76"/>
    <w:rsid w:val="61627EF2"/>
    <w:rsid w:val="61690897"/>
    <w:rsid w:val="61696F28"/>
    <w:rsid w:val="617B5F04"/>
    <w:rsid w:val="619568CD"/>
    <w:rsid w:val="6198731C"/>
    <w:rsid w:val="619F774C"/>
    <w:rsid w:val="61A30A46"/>
    <w:rsid w:val="61AD67D9"/>
    <w:rsid w:val="61C667E4"/>
    <w:rsid w:val="61DB43ED"/>
    <w:rsid w:val="61E1276F"/>
    <w:rsid w:val="61E84C4F"/>
    <w:rsid w:val="61F24E65"/>
    <w:rsid w:val="6208709F"/>
    <w:rsid w:val="62132AC5"/>
    <w:rsid w:val="622112F5"/>
    <w:rsid w:val="6225293F"/>
    <w:rsid w:val="622A102E"/>
    <w:rsid w:val="622D7B47"/>
    <w:rsid w:val="62363919"/>
    <w:rsid w:val="623916BE"/>
    <w:rsid w:val="62402A42"/>
    <w:rsid w:val="626764BC"/>
    <w:rsid w:val="62686413"/>
    <w:rsid w:val="626B289A"/>
    <w:rsid w:val="62870D02"/>
    <w:rsid w:val="6291178B"/>
    <w:rsid w:val="629503BF"/>
    <w:rsid w:val="6295776A"/>
    <w:rsid w:val="629B323B"/>
    <w:rsid w:val="629E37E6"/>
    <w:rsid w:val="62B00A61"/>
    <w:rsid w:val="62B02E9C"/>
    <w:rsid w:val="62C21463"/>
    <w:rsid w:val="62DF0794"/>
    <w:rsid w:val="62E15AE5"/>
    <w:rsid w:val="62EA2C49"/>
    <w:rsid w:val="63232C71"/>
    <w:rsid w:val="63291928"/>
    <w:rsid w:val="63301343"/>
    <w:rsid w:val="63332842"/>
    <w:rsid w:val="633C694F"/>
    <w:rsid w:val="633E4E82"/>
    <w:rsid w:val="635025C8"/>
    <w:rsid w:val="63552E8A"/>
    <w:rsid w:val="635B4CC7"/>
    <w:rsid w:val="63603E31"/>
    <w:rsid w:val="636130E0"/>
    <w:rsid w:val="636A6886"/>
    <w:rsid w:val="636E564F"/>
    <w:rsid w:val="637020F1"/>
    <w:rsid w:val="637D075E"/>
    <w:rsid w:val="63891F1F"/>
    <w:rsid w:val="638D1F52"/>
    <w:rsid w:val="63950C34"/>
    <w:rsid w:val="639F342E"/>
    <w:rsid w:val="63A45B72"/>
    <w:rsid w:val="63A53508"/>
    <w:rsid w:val="63AA1BCD"/>
    <w:rsid w:val="63AE1B9F"/>
    <w:rsid w:val="63B06793"/>
    <w:rsid w:val="63B079EF"/>
    <w:rsid w:val="63BB20E1"/>
    <w:rsid w:val="63C65464"/>
    <w:rsid w:val="63D00091"/>
    <w:rsid w:val="63D62269"/>
    <w:rsid w:val="63DA4A6C"/>
    <w:rsid w:val="63DB4576"/>
    <w:rsid w:val="63E034FC"/>
    <w:rsid w:val="63E86948"/>
    <w:rsid w:val="63E909CD"/>
    <w:rsid w:val="63FB5C60"/>
    <w:rsid w:val="64037F24"/>
    <w:rsid w:val="64046278"/>
    <w:rsid w:val="640E2967"/>
    <w:rsid w:val="642C3EEA"/>
    <w:rsid w:val="642C54C7"/>
    <w:rsid w:val="642E7A37"/>
    <w:rsid w:val="643237A5"/>
    <w:rsid w:val="643803D2"/>
    <w:rsid w:val="643A21BF"/>
    <w:rsid w:val="64484B87"/>
    <w:rsid w:val="644A7E43"/>
    <w:rsid w:val="646144B1"/>
    <w:rsid w:val="64626A30"/>
    <w:rsid w:val="646F3406"/>
    <w:rsid w:val="64783841"/>
    <w:rsid w:val="64886EB0"/>
    <w:rsid w:val="648D7D30"/>
    <w:rsid w:val="64B976B2"/>
    <w:rsid w:val="64D704F4"/>
    <w:rsid w:val="64E030DF"/>
    <w:rsid w:val="64E1336B"/>
    <w:rsid w:val="64EA5A43"/>
    <w:rsid w:val="64EB4CCD"/>
    <w:rsid w:val="64F54AB1"/>
    <w:rsid w:val="64F664FA"/>
    <w:rsid w:val="64FD6912"/>
    <w:rsid w:val="64FE4ED3"/>
    <w:rsid w:val="65002528"/>
    <w:rsid w:val="65064C01"/>
    <w:rsid w:val="65065370"/>
    <w:rsid w:val="6509385A"/>
    <w:rsid w:val="651135B3"/>
    <w:rsid w:val="651A0578"/>
    <w:rsid w:val="6521758C"/>
    <w:rsid w:val="6522491C"/>
    <w:rsid w:val="6525440C"/>
    <w:rsid w:val="652B0517"/>
    <w:rsid w:val="652E32C1"/>
    <w:rsid w:val="653F294D"/>
    <w:rsid w:val="654A79CF"/>
    <w:rsid w:val="654C2076"/>
    <w:rsid w:val="654C747E"/>
    <w:rsid w:val="6552134C"/>
    <w:rsid w:val="656A42D9"/>
    <w:rsid w:val="656F3DC7"/>
    <w:rsid w:val="6579736B"/>
    <w:rsid w:val="65841133"/>
    <w:rsid w:val="658730AF"/>
    <w:rsid w:val="65882D0B"/>
    <w:rsid w:val="65892A2A"/>
    <w:rsid w:val="659059BC"/>
    <w:rsid w:val="65994698"/>
    <w:rsid w:val="65B923E3"/>
    <w:rsid w:val="65C32A3D"/>
    <w:rsid w:val="65C50D1A"/>
    <w:rsid w:val="65D315FF"/>
    <w:rsid w:val="65E6594A"/>
    <w:rsid w:val="65E76CC4"/>
    <w:rsid w:val="65F14EBD"/>
    <w:rsid w:val="65F71905"/>
    <w:rsid w:val="66096533"/>
    <w:rsid w:val="660C3AF8"/>
    <w:rsid w:val="660D2ED6"/>
    <w:rsid w:val="660D7B9C"/>
    <w:rsid w:val="660F50CF"/>
    <w:rsid w:val="66141D57"/>
    <w:rsid w:val="662D5327"/>
    <w:rsid w:val="66365D84"/>
    <w:rsid w:val="663C7C5F"/>
    <w:rsid w:val="663D7E90"/>
    <w:rsid w:val="66527571"/>
    <w:rsid w:val="6659436D"/>
    <w:rsid w:val="665D3D8F"/>
    <w:rsid w:val="66602BC7"/>
    <w:rsid w:val="6672542F"/>
    <w:rsid w:val="667A512E"/>
    <w:rsid w:val="667E42FD"/>
    <w:rsid w:val="66876081"/>
    <w:rsid w:val="668A4527"/>
    <w:rsid w:val="668E78CD"/>
    <w:rsid w:val="66981404"/>
    <w:rsid w:val="669B5028"/>
    <w:rsid w:val="66A7076B"/>
    <w:rsid w:val="66AE6350"/>
    <w:rsid w:val="66D33235"/>
    <w:rsid w:val="66DB485A"/>
    <w:rsid w:val="66DC3E2C"/>
    <w:rsid w:val="66E0352A"/>
    <w:rsid w:val="66ED6675"/>
    <w:rsid w:val="66ED7FC0"/>
    <w:rsid w:val="66EF6D88"/>
    <w:rsid w:val="66F26570"/>
    <w:rsid w:val="66F6264B"/>
    <w:rsid w:val="66F756B2"/>
    <w:rsid w:val="66FD119D"/>
    <w:rsid w:val="6703521B"/>
    <w:rsid w:val="6705639B"/>
    <w:rsid w:val="670B057A"/>
    <w:rsid w:val="67144738"/>
    <w:rsid w:val="671C17C6"/>
    <w:rsid w:val="671C6AEB"/>
    <w:rsid w:val="672030DD"/>
    <w:rsid w:val="67300A7E"/>
    <w:rsid w:val="675C40F8"/>
    <w:rsid w:val="676077D1"/>
    <w:rsid w:val="676147DC"/>
    <w:rsid w:val="6764746E"/>
    <w:rsid w:val="67672ABA"/>
    <w:rsid w:val="676B171D"/>
    <w:rsid w:val="676C5483"/>
    <w:rsid w:val="67746F85"/>
    <w:rsid w:val="6778101E"/>
    <w:rsid w:val="677D22DE"/>
    <w:rsid w:val="678371C8"/>
    <w:rsid w:val="67896ED4"/>
    <w:rsid w:val="679061BB"/>
    <w:rsid w:val="67916DB0"/>
    <w:rsid w:val="679B09B6"/>
    <w:rsid w:val="67B54917"/>
    <w:rsid w:val="67B81568"/>
    <w:rsid w:val="67CD5371"/>
    <w:rsid w:val="67D57A24"/>
    <w:rsid w:val="67E1286C"/>
    <w:rsid w:val="67F21EBE"/>
    <w:rsid w:val="67F3434E"/>
    <w:rsid w:val="67FC60B7"/>
    <w:rsid w:val="681C56E8"/>
    <w:rsid w:val="68232E85"/>
    <w:rsid w:val="68403AFD"/>
    <w:rsid w:val="68541290"/>
    <w:rsid w:val="686113BA"/>
    <w:rsid w:val="68620649"/>
    <w:rsid w:val="68630D3F"/>
    <w:rsid w:val="68657B0A"/>
    <w:rsid w:val="68690E30"/>
    <w:rsid w:val="68727968"/>
    <w:rsid w:val="687D5A18"/>
    <w:rsid w:val="68980099"/>
    <w:rsid w:val="68AE7647"/>
    <w:rsid w:val="68B27FE5"/>
    <w:rsid w:val="68B33CBC"/>
    <w:rsid w:val="68C05073"/>
    <w:rsid w:val="68CC0D03"/>
    <w:rsid w:val="68E52BC5"/>
    <w:rsid w:val="68E71B98"/>
    <w:rsid w:val="68ED3493"/>
    <w:rsid w:val="68F951EB"/>
    <w:rsid w:val="68FA0D09"/>
    <w:rsid w:val="690518E3"/>
    <w:rsid w:val="690E58E3"/>
    <w:rsid w:val="6913778D"/>
    <w:rsid w:val="692216E4"/>
    <w:rsid w:val="692349A9"/>
    <w:rsid w:val="69433CAC"/>
    <w:rsid w:val="69647910"/>
    <w:rsid w:val="698612A5"/>
    <w:rsid w:val="69872CF3"/>
    <w:rsid w:val="698C2CAC"/>
    <w:rsid w:val="699157A6"/>
    <w:rsid w:val="69A82381"/>
    <w:rsid w:val="69AE43A7"/>
    <w:rsid w:val="69AE7BC5"/>
    <w:rsid w:val="69AF0748"/>
    <w:rsid w:val="69E71C2E"/>
    <w:rsid w:val="69EF2562"/>
    <w:rsid w:val="6A0202FD"/>
    <w:rsid w:val="6A0518F8"/>
    <w:rsid w:val="6A107439"/>
    <w:rsid w:val="6A4C6CBB"/>
    <w:rsid w:val="6A5E0111"/>
    <w:rsid w:val="6A6F316D"/>
    <w:rsid w:val="6A912DE0"/>
    <w:rsid w:val="6A943F85"/>
    <w:rsid w:val="6A9B5332"/>
    <w:rsid w:val="6A9E2C97"/>
    <w:rsid w:val="6AAC487C"/>
    <w:rsid w:val="6AAD3143"/>
    <w:rsid w:val="6AAF3E38"/>
    <w:rsid w:val="6AB029CA"/>
    <w:rsid w:val="6ABC4ECB"/>
    <w:rsid w:val="6AC2152D"/>
    <w:rsid w:val="6AD54350"/>
    <w:rsid w:val="6AF96F3D"/>
    <w:rsid w:val="6B043F03"/>
    <w:rsid w:val="6B080100"/>
    <w:rsid w:val="6B1017A5"/>
    <w:rsid w:val="6B1C57E8"/>
    <w:rsid w:val="6B222A27"/>
    <w:rsid w:val="6B2E35BA"/>
    <w:rsid w:val="6B3233DF"/>
    <w:rsid w:val="6B3D34FE"/>
    <w:rsid w:val="6B557938"/>
    <w:rsid w:val="6B5A3C35"/>
    <w:rsid w:val="6B66741E"/>
    <w:rsid w:val="6B6C1F48"/>
    <w:rsid w:val="6B87372B"/>
    <w:rsid w:val="6B900117"/>
    <w:rsid w:val="6BA42452"/>
    <w:rsid w:val="6BA72B30"/>
    <w:rsid w:val="6BA86101"/>
    <w:rsid w:val="6BB57E47"/>
    <w:rsid w:val="6BB77B3F"/>
    <w:rsid w:val="6BBB571F"/>
    <w:rsid w:val="6BC03782"/>
    <w:rsid w:val="6BCB40EA"/>
    <w:rsid w:val="6BD149A6"/>
    <w:rsid w:val="6BD44EF8"/>
    <w:rsid w:val="6BD57763"/>
    <w:rsid w:val="6BDC2D4F"/>
    <w:rsid w:val="6BDF1392"/>
    <w:rsid w:val="6BE749C8"/>
    <w:rsid w:val="6BEB3756"/>
    <w:rsid w:val="6C0D4ACE"/>
    <w:rsid w:val="6C1929E0"/>
    <w:rsid w:val="6C1A634D"/>
    <w:rsid w:val="6C225202"/>
    <w:rsid w:val="6C292BE1"/>
    <w:rsid w:val="6C346A47"/>
    <w:rsid w:val="6C393583"/>
    <w:rsid w:val="6C3B762A"/>
    <w:rsid w:val="6C4038DA"/>
    <w:rsid w:val="6C430EC6"/>
    <w:rsid w:val="6C460B8D"/>
    <w:rsid w:val="6C5238F7"/>
    <w:rsid w:val="6C60203D"/>
    <w:rsid w:val="6C604856"/>
    <w:rsid w:val="6C6217A7"/>
    <w:rsid w:val="6C740C4D"/>
    <w:rsid w:val="6C747D90"/>
    <w:rsid w:val="6C860A2C"/>
    <w:rsid w:val="6C88775B"/>
    <w:rsid w:val="6CA02C98"/>
    <w:rsid w:val="6CA127B4"/>
    <w:rsid w:val="6CA27B74"/>
    <w:rsid w:val="6CA34594"/>
    <w:rsid w:val="6CA67BE1"/>
    <w:rsid w:val="6CB55D42"/>
    <w:rsid w:val="6CB8671C"/>
    <w:rsid w:val="6CBA7B30"/>
    <w:rsid w:val="6CCE5B95"/>
    <w:rsid w:val="6CD01102"/>
    <w:rsid w:val="6CDB5E4B"/>
    <w:rsid w:val="6CF045A6"/>
    <w:rsid w:val="6CF20041"/>
    <w:rsid w:val="6CF43042"/>
    <w:rsid w:val="6CFD1C68"/>
    <w:rsid w:val="6D1347EA"/>
    <w:rsid w:val="6D1B2C9B"/>
    <w:rsid w:val="6D2471EB"/>
    <w:rsid w:val="6D252E4A"/>
    <w:rsid w:val="6D321474"/>
    <w:rsid w:val="6D3A50DF"/>
    <w:rsid w:val="6D503BE3"/>
    <w:rsid w:val="6D5164B6"/>
    <w:rsid w:val="6D5F318C"/>
    <w:rsid w:val="6D614FFE"/>
    <w:rsid w:val="6D6A21E0"/>
    <w:rsid w:val="6D6D0DEC"/>
    <w:rsid w:val="6D7427C5"/>
    <w:rsid w:val="6D8223FC"/>
    <w:rsid w:val="6D8E6FF3"/>
    <w:rsid w:val="6D910EB2"/>
    <w:rsid w:val="6D940381"/>
    <w:rsid w:val="6DA33AB1"/>
    <w:rsid w:val="6DA34120"/>
    <w:rsid w:val="6DE1112A"/>
    <w:rsid w:val="6DE62234"/>
    <w:rsid w:val="6DEE1DA5"/>
    <w:rsid w:val="6DF131D9"/>
    <w:rsid w:val="6DF362F1"/>
    <w:rsid w:val="6DFC0A94"/>
    <w:rsid w:val="6E0E7E73"/>
    <w:rsid w:val="6E163B54"/>
    <w:rsid w:val="6E1F3AB9"/>
    <w:rsid w:val="6E22598D"/>
    <w:rsid w:val="6E291B51"/>
    <w:rsid w:val="6E2B5B70"/>
    <w:rsid w:val="6E2E2225"/>
    <w:rsid w:val="6E3260E0"/>
    <w:rsid w:val="6E391146"/>
    <w:rsid w:val="6E46026B"/>
    <w:rsid w:val="6E5B2C4D"/>
    <w:rsid w:val="6E917D94"/>
    <w:rsid w:val="6E95615F"/>
    <w:rsid w:val="6E9879FD"/>
    <w:rsid w:val="6EB97C9A"/>
    <w:rsid w:val="6EBA3EC2"/>
    <w:rsid w:val="6EBF6D03"/>
    <w:rsid w:val="6EC425A0"/>
    <w:rsid w:val="6EC51691"/>
    <w:rsid w:val="6ED547AD"/>
    <w:rsid w:val="6EEF3C2A"/>
    <w:rsid w:val="6F0720D4"/>
    <w:rsid w:val="6F0C365F"/>
    <w:rsid w:val="6F265009"/>
    <w:rsid w:val="6F341033"/>
    <w:rsid w:val="6F484F7F"/>
    <w:rsid w:val="6F4E6A14"/>
    <w:rsid w:val="6F6135D9"/>
    <w:rsid w:val="6F693749"/>
    <w:rsid w:val="6F6A3147"/>
    <w:rsid w:val="6F6B481B"/>
    <w:rsid w:val="6F6C05FF"/>
    <w:rsid w:val="6F7458D1"/>
    <w:rsid w:val="6F7D31A5"/>
    <w:rsid w:val="6F8416CF"/>
    <w:rsid w:val="6F857F81"/>
    <w:rsid w:val="6F9D7BE5"/>
    <w:rsid w:val="6F9F2AB4"/>
    <w:rsid w:val="6FAD1286"/>
    <w:rsid w:val="6FAD186B"/>
    <w:rsid w:val="6FB77864"/>
    <w:rsid w:val="6FC07FB0"/>
    <w:rsid w:val="6FCC75D9"/>
    <w:rsid w:val="6FD3402E"/>
    <w:rsid w:val="6FDD0023"/>
    <w:rsid w:val="70236185"/>
    <w:rsid w:val="70311EB7"/>
    <w:rsid w:val="70315562"/>
    <w:rsid w:val="703620CB"/>
    <w:rsid w:val="703D260A"/>
    <w:rsid w:val="704240C4"/>
    <w:rsid w:val="70511328"/>
    <w:rsid w:val="705A27F4"/>
    <w:rsid w:val="705C4791"/>
    <w:rsid w:val="7060062E"/>
    <w:rsid w:val="706338B4"/>
    <w:rsid w:val="70666005"/>
    <w:rsid w:val="70807928"/>
    <w:rsid w:val="70A61135"/>
    <w:rsid w:val="70B477CF"/>
    <w:rsid w:val="70B623BC"/>
    <w:rsid w:val="70B65F8C"/>
    <w:rsid w:val="70B66341"/>
    <w:rsid w:val="70B81788"/>
    <w:rsid w:val="70BE62B2"/>
    <w:rsid w:val="70C456BC"/>
    <w:rsid w:val="70CE7706"/>
    <w:rsid w:val="70E7292B"/>
    <w:rsid w:val="70E92792"/>
    <w:rsid w:val="70EB1D07"/>
    <w:rsid w:val="70ED4030"/>
    <w:rsid w:val="70F41B5F"/>
    <w:rsid w:val="71080E6A"/>
    <w:rsid w:val="711E3CE1"/>
    <w:rsid w:val="713438AD"/>
    <w:rsid w:val="713A123F"/>
    <w:rsid w:val="713A6F8B"/>
    <w:rsid w:val="714C1194"/>
    <w:rsid w:val="714C1A59"/>
    <w:rsid w:val="714C59B7"/>
    <w:rsid w:val="71557E27"/>
    <w:rsid w:val="716702AA"/>
    <w:rsid w:val="717304A3"/>
    <w:rsid w:val="7175660B"/>
    <w:rsid w:val="717750A4"/>
    <w:rsid w:val="71856665"/>
    <w:rsid w:val="718A7A50"/>
    <w:rsid w:val="71A843FB"/>
    <w:rsid w:val="71AD13D4"/>
    <w:rsid w:val="71BB412E"/>
    <w:rsid w:val="71BD3A7A"/>
    <w:rsid w:val="71C64881"/>
    <w:rsid w:val="71D376CA"/>
    <w:rsid w:val="71E82A49"/>
    <w:rsid w:val="71E926CD"/>
    <w:rsid w:val="71ED62B2"/>
    <w:rsid w:val="71F509A5"/>
    <w:rsid w:val="720300D2"/>
    <w:rsid w:val="72083B33"/>
    <w:rsid w:val="720B57FE"/>
    <w:rsid w:val="720D3D20"/>
    <w:rsid w:val="721750DD"/>
    <w:rsid w:val="72203F91"/>
    <w:rsid w:val="72216562"/>
    <w:rsid w:val="7229261B"/>
    <w:rsid w:val="722C01C9"/>
    <w:rsid w:val="72304722"/>
    <w:rsid w:val="724F5E6C"/>
    <w:rsid w:val="725D1AA0"/>
    <w:rsid w:val="72657495"/>
    <w:rsid w:val="72692740"/>
    <w:rsid w:val="72693B8A"/>
    <w:rsid w:val="72764326"/>
    <w:rsid w:val="72781F16"/>
    <w:rsid w:val="728D4FDC"/>
    <w:rsid w:val="72914E8F"/>
    <w:rsid w:val="729A209E"/>
    <w:rsid w:val="729D3834"/>
    <w:rsid w:val="72AA78B4"/>
    <w:rsid w:val="72BC3359"/>
    <w:rsid w:val="72C40186"/>
    <w:rsid w:val="72C730FE"/>
    <w:rsid w:val="72D0280B"/>
    <w:rsid w:val="72F40BB7"/>
    <w:rsid w:val="72F434FA"/>
    <w:rsid w:val="730B2421"/>
    <w:rsid w:val="730B2A5D"/>
    <w:rsid w:val="730D1C62"/>
    <w:rsid w:val="731356C2"/>
    <w:rsid w:val="73151916"/>
    <w:rsid w:val="73184198"/>
    <w:rsid w:val="73373C05"/>
    <w:rsid w:val="73394622"/>
    <w:rsid w:val="733F63CB"/>
    <w:rsid w:val="73555688"/>
    <w:rsid w:val="736C1BDF"/>
    <w:rsid w:val="736E2B3F"/>
    <w:rsid w:val="7370719A"/>
    <w:rsid w:val="73754FD7"/>
    <w:rsid w:val="738E4CE0"/>
    <w:rsid w:val="739A5FC5"/>
    <w:rsid w:val="73A26CD8"/>
    <w:rsid w:val="73B34E42"/>
    <w:rsid w:val="73B83040"/>
    <w:rsid w:val="73BA1DA6"/>
    <w:rsid w:val="73BF2DAF"/>
    <w:rsid w:val="73E35202"/>
    <w:rsid w:val="73E829D8"/>
    <w:rsid w:val="74094E3D"/>
    <w:rsid w:val="740B0CA6"/>
    <w:rsid w:val="7410198C"/>
    <w:rsid w:val="741F54A2"/>
    <w:rsid w:val="742331AE"/>
    <w:rsid w:val="742F2BB2"/>
    <w:rsid w:val="743553DE"/>
    <w:rsid w:val="743D0A2B"/>
    <w:rsid w:val="74551EB3"/>
    <w:rsid w:val="745A0FA0"/>
    <w:rsid w:val="74876A28"/>
    <w:rsid w:val="74884175"/>
    <w:rsid w:val="749132B1"/>
    <w:rsid w:val="749D15EC"/>
    <w:rsid w:val="74AC6BC6"/>
    <w:rsid w:val="74D13C69"/>
    <w:rsid w:val="74F160B9"/>
    <w:rsid w:val="75056896"/>
    <w:rsid w:val="751A5826"/>
    <w:rsid w:val="752B5127"/>
    <w:rsid w:val="752C6AB2"/>
    <w:rsid w:val="75322959"/>
    <w:rsid w:val="7534397E"/>
    <w:rsid w:val="753540AD"/>
    <w:rsid w:val="754D7793"/>
    <w:rsid w:val="75614BF7"/>
    <w:rsid w:val="756C5695"/>
    <w:rsid w:val="75720FA8"/>
    <w:rsid w:val="75735A2A"/>
    <w:rsid w:val="75826D11"/>
    <w:rsid w:val="75836B45"/>
    <w:rsid w:val="75845947"/>
    <w:rsid w:val="75850468"/>
    <w:rsid w:val="75866BE9"/>
    <w:rsid w:val="759233F8"/>
    <w:rsid w:val="759B6003"/>
    <w:rsid w:val="75A04F3B"/>
    <w:rsid w:val="75AE59C7"/>
    <w:rsid w:val="75B61842"/>
    <w:rsid w:val="75BC78AF"/>
    <w:rsid w:val="75C0373B"/>
    <w:rsid w:val="75CB7BF0"/>
    <w:rsid w:val="75D62BEE"/>
    <w:rsid w:val="75D74EF8"/>
    <w:rsid w:val="75E20E90"/>
    <w:rsid w:val="75FE283B"/>
    <w:rsid w:val="76066358"/>
    <w:rsid w:val="760719A1"/>
    <w:rsid w:val="760A52CC"/>
    <w:rsid w:val="760C4ED0"/>
    <w:rsid w:val="760D3186"/>
    <w:rsid w:val="7621477C"/>
    <w:rsid w:val="76261C26"/>
    <w:rsid w:val="762F2954"/>
    <w:rsid w:val="76342701"/>
    <w:rsid w:val="76384F46"/>
    <w:rsid w:val="76487F5B"/>
    <w:rsid w:val="764D5571"/>
    <w:rsid w:val="764E1B03"/>
    <w:rsid w:val="766703E1"/>
    <w:rsid w:val="76780840"/>
    <w:rsid w:val="767C19B2"/>
    <w:rsid w:val="7683069C"/>
    <w:rsid w:val="76A27DD7"/>
    <w:rsid w:val="76AD15F9"/>
    <w:rsid w:val="76AD55FC"/>
    <w:rsid w:val="76BE4F30"/>
    <w:rsid w:val="76C70E7F"/>
    <w:rsid w:val="76CD451D"/>
    <w:rsid w:val="76EE2591"/>
    <w:rsid w:val="76EF7D2C"/>
    <w:rsid w:val="76F53C3E"/>
    <w:rsid w:val="770318FD"/>
    <w:rsid w:val="77146E97"/>
    <w:rsid w:val="771766AF"/>
    <w:rsid w:val="771D558A"/>
    <w:rsid w:val="77282FFF"/>
    <w:rsid w:val="772A140E"/>
    <w:rsid w:val="77403575"/>
    <w:rsid w:val="7748368E"/>
    <w:rsid w:val="77533F2B"/>
    <w:rsid w:val="77543014"/>
    <w:rsid w:val="775517FF"/>
    <w:rsid w:val="777860D8"/>
    <w:rsid w:val="7792252C"/>
    <w:rsid w:val="77991C3E"/>
    <w:rsid w:val="779A6594"/>
    <w:rsid w:val="77A83CB3"/>
    <w:rsid w:val="77B238DE"/>
    <w:rsid w:val="77B70EF4"/>
    <w:rsid w:val="77BF5BB1"/>
    <w:rsid w:val="77C87BF6"/>
    <w:rsid w:val="77E837A3"/>
    <w:rsid w:val="77F26063"/>
    <w:rsid w:val="780B4A40"/>
    <w:rsid w:val="781B72AA"/>
    <w:rsid w:val="781C67C3"/>
    <w:rsid w:val="78306EF8"/>
    <w:rsid w:val="783C2021"/>
    <w:rsid w:val="783F079D"/>
    <w:rsid w:val="78533C42"/>
    <w:rsid w:val="785F235F"/>
    <w:rsid w:val="786A679E"/>
    <w:rsid w:val="787E207D"/>
    <w:rsid w:val="78801C2E"/>
    <w:rsid w:val="78841D97"/>
    <w:rsid w:val="78900078"/>
    <w:rsid w:val="78A56AB5"/>
    <w:rsid w:val="78C620B9"/>
    <w:rsid w:val="78C966FA"/>
    <w:rsid w:val="78CB1B99"/>
    <w:rsid w:val="78DC5A8E"/>
    <w:rsid w:val="78E91F32"/>
    <w:rsid w:val="78F12B57"/>
    <w:rsid w:val="790A315A"/>
    <w:rsid w:val="790D6D3D"/>
    <w:rsid w:val="791648AD"/>
    <w:rsid w:val="791F1D70"/>
    <w:rsid w:val="793F5645"/>
    <w:rsid w:val="79440AEE"/>
    <w:rsid w:val="796C31B8"/>
    <w:rsid w:val="79856DD0"/>
    <w:rsid w:val="79872276"/>
    <w:rsid w:val="79890FF4"/>
    <w:rsid w:val="7989257D"/>
    <w:rsid w:val="79922D97"/>
    <w:rsid w:val="79927E6B"/>
    <w:rsid w:val="79A454A8"/>
    <w:rsid w:val="79A64CBB"/>
    <w:rsid w:val="79AA26DF"/>
    <w:rsid w:val="79B70EF8"/>
    <w:rsid w:val="79C15542"/>
    <w:rsid w:val="79C75326"/>
    <w:rsid w:val="79EB497D"/>
    <w:rsid w:val="79F6754E"/>
    <w:rsid w:val="79FB0261"/>
    <w:rsid w:val="79FB2DAF"/>
    <w:rsid w:val="7A087BDF"/>
    <w:rsid w:val="7A0C565C"/>
    <w:rsid w:val="7A1C2352"/>
    <w:rsid w:val="7A1C61A9"/>
    <w:rsid w:val="7A226B24"/>
    <w:rsid w:val="7A2B7977"/>
    <w:rsid w:val="7A484CAA"/>
    <w:rsid w:val="7A4A24F3"/>
    <w:rsid w:val="7A5001CD"/>
    <w:rsid w:val="7A5E7D4D"/>
    <w:rsid w:val="7A5F3524"/>
    <w:rsid w:val="7A62317A"/>
    <w:rsid w:val="7A6510DB"/>
    <w:rsid w:val="7A6D0A7E"/>
    <w:rsid w:val="7A6D1D3E"/>
    <w:rsid w:val="7A776D55"/>
    <w:rsid w:val="7A813A3B"/>
    <w:rsid w:val="7A817172"/>
    <w:rsid w:val="7A885FEA"/>
    <w:rsid w:val="7A890F22"/>
    <w:rsid w:val="7A916DEC"/>
    <w:rsid w:val="7A9F2CF5"/>
    <w:rsid w:val="7AA53BCD"/>
    <w:rsid w:val="7AA60701"/>
    <w:rsid w:val="7AAC0AB8"/>
    <w:rsid w:val="7AAE1142"/>
    <w:rsid w:val="7AAE5C60"/>
    <w:rsid w:val="7AC0465B"/>
    <w:rsid w:val="7AC322A6"/>
    <w:rsid w:val="7AC926EB"/>
    <w:rsid w:val="7ACE2AB8"/>
    <w:rsid w:val="7AD128A9"/>
    <w:rsid w:val="7AD2187C"/>
    <w:rsid w:val="7ADC456B"/>
    <w:rsid w:val="7AE45DA6"/>
    <w:rsid w:val="7AEA0DF1"/>
    <w:rsid w:val="7AEF309B"/>
    <w:rsid w:val="7AF67F85"/>
    <w:rsid w:val="7AF95CC7"/>
    <w:rsid w:val="7B05488D"/>
    <w:rsid w:val="7B095F0A"/>
    <w:rsid w:val="7B0A06CB"/>
    <w:rsid w:val="7B0D17BE"/>
    <w:rsid w:val="7B18614D"/>
    <w:rsid w:val="7B19553B"/>
    <w:rsid w:val="7B1F0B72"/>
    <w:rsid w:val="7B284E41"/>
    <w:rsid w:val="7B2A31E2"/>
    <w:rsid w:val="7B354232"/>
    <w:rsid w:val="7B430CF1"/>
    <w:rsid w:val="7B4E3BEA"/>
    <w:rsid w:val="7B532E03"/>
    <w:rsid w:val="7B626231"/>
    <w:rsid w:val="7B656EB9"/>
    <w:rsid w:val="7B6F568B"/>
    <w:rsid w:val="7B8706E0"/>
    <w:rsid w:val="7B931C78"/>
    <w:rsid w:val="7B98728E"/>
    <w:rsid w:val="7B9E4FF6"/>
    <w:rsid w:val="7BAA2A01"/>
    <w:rsid w:val="7BAD0F8C"/>
    <w:rsid w:val="7BB51BEE"/>
    <w:rsid w:val="7BB526B3"/>
    <w:rsid w:val="7BC912FA"/>
    <w:rsid w:val="7BD10038"/>
    <w:rsid w:val="7BD302C6"/>
    <w:rsid w:val="7BD97659"/>
    <w:rsid w:val="7BE06574"/>
    <w:rsid w:val="7BE50268"/>
    <w:rsid w:val="7BF07FCB"/>
    <w:rsid w:val="7BFF730D"/>
    <w:rsid w:val="7C014FB3"/>
    <w:rsid w:val="7C0244F2"/>
    <w:rsid w:val="7C181EB2"/>
    <w:rsid w:val="7C304F8E"/>
    <w:rsid w:val="7C336FB7"/>
    <w:rsid w:val="7C39281F"/>
    <w:rsid w:val="7C4C370C"/>
    <w:rsid w:val="7C4F089D"/>
    <w:rsid w:val="7C5238E1"/>
    <w:rsid w:val="7C5D7E4F"/>
    <w:rsid w:val="7C605B0C"/>
    <w:rsid w:val="7C630C65"/>
    <w:rsid w:val="7C740D99"/>
    <w:rsid w:val="7C760599"/>
    <w:rsid w:val="7C7C5114"/>
    <w:rsid w:val="7C935AB5"/>
    <w:rsid w:val="7CA67789"/>
    <w:rsid w:val="7CCA4662"/>
    <w:rsid w:val="7CCF762A"/>
    <w:rsid w:val="7CDD2818"/>
    <w:rsid w:val="7CE04A49"/>
    <w:rsid w:val="7CE97F44"/>
    <w:rsid w:val="7CF60710"/>
    <w:rsid w:val="7D00333D"/>
    <w:rsid w:val="7D040449"/>
    <w:rsid w:val="7D0A5491"/>
    <w:rsid w:val="7D0F2685"/>
    <w:rsid w:val="7D1109CB"/>
    <w:rsid w:val="7D231188"/>
    <w:rsid w:val="7D357EBC"/>
    <w:rsid w:val="7D3E3114"/>
    <w:rsid w:val="7D633A67"/>
    <w:rsid w:val="7D6F29AF"/>
    <w:rsid w:val="7D6F4DDA"/>
    <w:rsid w:val="7D705CBB"/>
    <w:rsid w:val="7D7E3B4B"/>
    <w:rsid w:val="7D817656"/>
    <w:rsid w:val="7D8862B7"/>
    <w:rsid w:val="7D8C71F3"/>
    <w:rsid w:val="7D8E6B9B"/>
    <w:rsid w:val="7D935E67"/>
    <w:rsid w:val="7D99109C"/>
    <w:rsid w:val="7D9B184A"/>
    <w:rsid w:val="7DA3023D"/>
    <w:rsid w:val="7DA43CC8"/>
    <w:rsid w:val="7DAE0FEB"/>
    <w:rsid w:val="7DB61C4E"/>
    <w:rsid w:val="7DB71C83"/>
    <w:rsid w:val="7DB84577"/>
    <w:rsid w:val="7DBF5565"/>
    <w:rsid w:val="7DC52AE3"/>
    <w:rsid w:val="7DC9372F"/>
    <w:rsid w:val="7DD303DA"/>
    <w:rsid w:val="7DD9273F"/>
    <w:rsid w:val="7DE40F78"/>
    <w:rsid w:val="7DE871B4"/>
    <w:rsid w:val="7DEA0341"/>
    <w:rsid w:val="7DEB37E9"/>
    <w:rsid w:val="7E0751A3"/>
    <w:rsid w:val="7E197282"/>
    <w:rsid w:val="7E1A5C35"/>
    <w:rsid w:val="7E1D3A7B"/>
    <w:rsid w:val="7E2766A8"/>
    <w:rsid w:val="7E297621"/>
    <w:rsid w:val="7E2C4707"/>
    <w:rsid w:val="7E35325C"/>
    <w:rsid w:val="7E393919"/>
    <w:rsid w:val="7E395B7B"/>
    <w:rsid w:val="7E397153"/>
    <w:rsid w:val="7E4A6504"/>
    <w:rsid w:val="7E4D4360"/>
    <w:rsid w:val="7E4E1E86"/>
    <w:rsid w:val="7E845D81"/>
    <w:rsid w:val="7E8813E9"/>
    <w:rsid w:val="7E9E696A"/>
    <w:rsid w:val="7EA96C28"/>
    <w:rsid w:val="7EB97C47"/>
    <w:rsid w:val="7EBF64A4"/>
    <w:rsid w:val="7EC27667"/>
    <w:rsid w:val="7ECB606F"/>
    <w:rsid w:val="7ECC7246"/>
    <w:rsid w:val="7EE328E6"/>
    <w:rsid w:val="7EEC6DDC"/>
    <w:rsid w:val="7EF71012"/>
    <w:rsid w:val="7EF77AD5"/>
    <w:rsid w:val="7F0C5FC9"/>
    <w:rsid w:val="7F121106"/>
    <w:rsid w:val="7F1648EF"/>
    <w:rsid w:val="7F2F74D9"/>
    <w:rsid w:val="7F4B329E"/>
    <w:rsid w:val="7F4B424A"/>
    <w:rsid w:val="7F737DF6"/>
    <w:rsid w:val="7F7A3700"/>
    <w:rsid w:val="7F9020BE"/>
    <w:rsid w:val="7F911291"/>
    <w:rsid w:val="7F954211"/>
    <w:rsid w:val="7FAE41CE"/>
    <w:rsid w:val="7FB623D9"/>
    <w:rsid w:val="7FC625E9"/>
    <w:rsid w:val="7FCE57F4"/>
    <w:rsid w:val="7FD5285F"/>
    <w:rsid w:val="7FDE0B57"/>
    <w:rsid w:val="7FE02050"/>
    <w:rsid w:val="7FE2578F"/>
    <w:rsid w:val="7FEB2083"/>
    <w:rsid w:val="7FF13411"/>
    <w:rsid w:val="7FF408E5"/>
    <w:rsid w:val="7FF60A27"/>
    <w:rsid w:val="7FF672E6"/>
    <w:rsid w:val="7FFF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1"/>
    <w:qFormat/>
    <w:uiPriority w:val="0"/>
    <w:pPr>
      <w:keepNext/>
      <w:keepLines/>
      <w:adjustRightInd w:val="0"/>
      <w:snapToGrid w:val="0"/>
      <w:spacing w:before="156" w:line="360" w:lineRule="auto"/>
      <w:outlineLvl w:val="1"/>
    </w:pPr>
    <w:rPr>
      <w:b/>
      <w:sz w:val="24"/>
    </w:rPr>
  </w:style>
  <w:style w:type="paragraph" w:styleId="4">
    <w:name w:val="heading 3"/>
    <w:basedOn w:val="1"/>
    <w:next w:val="1"/>
    <w:qFormat/>
    <w:uiPriority w:val="0"/>
    <w:pPr>
      <w:keepNext/>
      <w:keepLines/>
      <w:spacing w:line="360" w:lineRule="auto"/>
      <w:ind w:left="852"/>
      <w:outlineLvl w:val="2"/>
    </w:pPr>
    <w:rPr>
      <w:rFonts w:eastAsia="黑体"/>
      <w:b/>
      <w:kern w:val="0"/>
      <w:sz w:val="24"/>
    </w:rPr>
  </w:style>
  <w:style w:type="paragraph" w:styleId="5">
    <w:name w:val="heading 4"/>
    <w:basedOn w:val="1"/>
    <w:next w:val="1"/>
    <w:qFormat/>
    <w:uiPriority w:val="0"/>
    <w:pPr>
      <w:keepNext/>
      <w:keepLines/>
      <w:spacing w:line="360" w:lineRule="auto"/>
      <w:outlineLvl w:val="3"/>
    </w:pPr>
    <w:rPr>
      <w:b/>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caption"/>
    <w:basedOn w:val="1"/>
    <w:next w:val="1"/>
    <w:link w:val="127"/>
    <w:qFormat/>
    <w:uiPriority w:val="35"/>
    <w:rPr>
      <w:rFonts w:ascii="Arial" w:hAnsi="Arial" w:eastAsia="黑体" w:cs="Arial"/>
      <w:sz w:val="20"/>
      <w:szCs w:val="20"/>
    </w:r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link w:val="128"/>
    <w:qFormat/>
    <w:uiPriority w:val="0"/>
    <w:pPr>
      <w:jc w:val="left"/>
    </w:pPr>
  </w:style>
  <w:style w:type="paragraph" w:styleId="10">
    <w:name w:val="Salutation"/>
    <w:basedOn w:val="1"/>
    <w:next w:val="1"/>
    <w:link w:val="135"/>
    <w:qFormat/>
    <w:uiPriority w:val="0"/>
  </w:style>
  <w:style w:type="paragraph" w:styleId="11">
    <w:name w:val="Body Text"/>
    <w:basedOn w:val="1"/>
    <w:next w:val="1"/>
    <w:link w:val="132"/>
    <w:qFormat/>
    <w:uiPriority w:val="0"/>
    <w:pPr>
      <w:spacing w:after="120"/>
    </w:pPr>
  </w:style>
  <w:style w:type="paragraph" w:styleId="12">
    <w:name w:val="Body Text Indent"/>
    <w:basedOn w:val="1"/>
    <w:next w:val="13"/>
    <w:qFormat/>
    <w:uiPriority w:val="0"/>
    <w:pPr>
      <w:widowControl/>
      <w:spacing w:after="120"/>
      <w:ind w:left="420" w:leftChars="200"/>
      <w:jc w:val="left"/>
    </w:pPr>
    <w:rPr>
      <w:kern w:val="0"/>
      <w:sz w:val="24"/>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index heading"/>
    <w:basedOn w:val="1"/>
    <w:next w:val="15"/>
    <w:qFormat/>
    <w:uiPriority w:val="0"/>
    <w:rPr>
      <w:rFonts w:ascii="Arial" w:hAnsi="Arial"/>
      <w:b/>
    </w:rPr>
  </w:style>
  <w:style w:type="paragraph" w:styleId="15">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6">
    <w:name w:val="Block Text"/>
    <w:basedOn w:val="1"/>
    <w:qFormat/>
    <w:uiPriority w:val="0"/>
    <w:pPr>
      <w:spacing w:after="120"/>
      <w:ind w:left="1440" w:leftChars="700" w:right="1440" w:rightChars="700"/>
    </w:pPr>
  </w:style>
  <w:style w:type="paragraph" w:styleId="17">
    <w:name w:val="Plain Text"/>
    <w:basedOn w:val="1"/>
    <w:next w:val="1"/>
    <w:link w:val="143"/>
    <w:qFormat/>
    <w:uiPriority w:val="0"/>
    <w:rPr>
      <w:rFonts w:ascii="宋体" w:hAnsi="Courier New"/>
    </w:rPr>
  </w:style>
  <w:style w:type="paragraph" w:styleId="18">
    <w:name w:val="Date"/>
    <w:basedOn w:val="1"/>
    <w:next w:val="1"/>
    <w:qFormat/>
    <w:uiPriority w:val="0"/>
    <w:rPr>
      <w:sz w:val="24"/>
      <w:szCs w:val="20"/>
    </w:rPr>
  </w:style>
  <w:style w:type="paragraph" w:styleId="19">
    <w:name w:val="Body Text Indent 2"/>
    <w:basedOn w:val="1"/>
    <w:qFormat/>
    <w:uiPriority w:val="0"/>
    <w:pPr>
      <w:spacing w:after="120" w:line="480" w:lineRule="auto"/>
      <w:ind w:left="200" w:leftChars="200"/>
    </w:pPr>
    <w:rPr>
      <w:sz w:val="24"/>
    </w:rPr>
  </w:style>
  <w:style w:type="paragraph" w:styleId="20">
    <w:name w:val="Balloon Text"/>
    <w:basedOn w:val="1"/>
    <w:link w:val="106"/>
    <w:qFormat/>
    <w:uiPriority w:val="0"/>
    <w:rPr>
      <w:sz w:val="18"/>
      <w:szCs w:val="18"/>
    </w:rPr>
  </w:style>
  <w:style w:type="paragraph" w:styleId="21">
    <w:name w:val="footer"/>
    <w:basedOn w:val="1"/>
    <w:qFormat/>
    <w:uiPriority w:val="99"/>
    <w:pPr>
      <w:tabs>
        <w:tab w:val="center" w:pos="4153"/>
        <w:tab w:val="right" w:pos="8306"/>
      </w:tabs>
      <w:snapToGrid w:val="0"/>
      <w:jc w:val="left"/>
    </w:pPr>
    <w:rPr>
      <w:kern w:val="0"/>
      <w:sz w:val="18"/>
      <w:szCs w:val="20"/>
    </w:rPr>
  </w:style>
  <w:style w:type="paragraph" w:styleId="22">
    <w:name w:val="toc 1"/>
    <w:basedOn w:val="1"/>
    <w:next w:val="1"/>
    <w:qFormat/>
    <w:uiPriority w:val="0"/>
  </w:style>
  <w:style w:type="paragraph" w:styleId="23">
    <w:name w:val="Body Text Indent 3"/>
    <w:basedOn w:val="1"/>
    <w:qFormat/>
    <w:uiPriority w:val="0"/>
    <w:pPr>
      <w:spacing w:after="120"/>
      <w:ind w:left="420" w:leftChars="200"/>
    </w:pPr>
    <w:rPr>
      <w:sz w:val="16"/>
      <w:szCs w:val="16"/>
    </w:rPr>
  </w:style>
  <w:style w:type="paragraph" w:styleId="24">
    <w:name w:val="Normal (Web)"/>
    <w:basedOn w:val="1"/>
    <w:link w:val="109"/>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9"/>
    <w:next w:val="9"/>
    <w:link w:val="129"/>
    <w:qFormat/>
    <w:uiPriority w:val="0"/>
    <w:rPr>
      <w:b/>
      <w:bCs/>
    </w:rPr>
  </w:style>
  <w:style w:type="paragraph" w:styleId="26">
    <w:name w:val="Body Text First Indent"/>
    <w:basedOn w:val="11"/>
    <w:next w:val="1"/>
    <w:qFormat/>
    <w:uiPriority w:val="0"/>
    <w:pPr>
      <w:ind w:firstLine="420" w:firstLineChars="100"/>
    </w:pPr>
    <w:rPr>
      <w:sz w:val="24"/>
    </w:rPr>
  </w:style>
  <w:style w:type="paragraph" w:styleId="27">
    <w:name w:val="Body Text First Indent 2"/>
    <w:basedOn w:val="1"/>
    <w:next w:val="26"/>
    <w:link w:val="136"/>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basedOn w:val="30"/>
    <w:qFormat/>
    <w:uiPriority w:val="0"/>
  </w:style>
  <w:style w:type="character" w:styleId="33">
    <w:name w:val="Emphasis"/>
    <w:qFormat/>
    <w:uiPriority w:val="20"/>
  </w:style>
  <w:style w:type="character" w:styleId="34">
    <w:name w:val="Hyperlink"/>
    <w:basedOn w:val="30"/>
    <w:qFormat/>
    <w:uiPriority w:val="0"/>
    <w:rPr>
      <w:color w:val="000000"/>
      <w:u w:val="none"/>
    </w:rPr>
  </w:style>
  <w:style w:type="character" w:styleId="35">
    <w:name w:val="annotation reference"/>
    <w:basedOn w:val="30"/>
    <w:qFormat/>
    <w:uiPriority w:val="0"/>
    <w:rPr>
      <w:sz w:val="21"/>
    </w:rPr>
  </w:style>
  <w:style w:type="paragraph" w:customStyle="1" w:styleId="36">
    <w:name w:val="样式 标题 1 + 四号 段前: 0 磅 段后: 0 磅 行距: 1.5 倍行距"/>
    <w:basedOn w:val="37"/>
    <w:next w:val="1"/>
    <w:qFormat/>
    <w:uiPriority w:val="0"/>
    <w:pPr>
      <w:spacing w:line="360" w:lineRule="auto"/>
      <w:jc w:val="center"/>
    </w:pPr>
  </w:style>
  <w:style w:type="paragraph" w:customStyle="1" w:styleId="37">
    <w:name w:val="1正文"/>
    <w:basedOn w:val="1"/>
    <w:qFormat/>
    <w:uiPriority w:val="0"/>
    <w:pPr>
      <w:spacing w:line="500" w:lineRule="exact"/>
      <w:ind w:firstLine="588" w:firstLineChars="196"/>
    </w:pPr>
    <w:rPr>
      <w:rFonts w:eastAsia="楷体_GB2312"/>
      <w:sz w:val="30"/>
      <w:szCs w:val="30"/>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9">
    <w:name w:val="文本正文"/>
    <w:basedOn w:val="1"/>
    <w:qFormat/>
    <w:uiPriority w:val="0"/>
    <w:pPr>
      <w:snapToGrid w:val="0"/>
      <w:spacing w:line="360" w:lineRule="auto"/>
      <w:ind w:firstLine="510"/>
      <w:jc w:val="left"/>
    </w:pPr>
    <w:rPr>
      <w:spacing w:val="4"/>
      <w:kern w:val="24"/>
      <w:lang w:val="zh-CN"/>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样式 黑色 行距: 最小值 26 磅"/>
    <w:basedOn w:val="1"/>
    <w:qFormat/>
    <w:uiPriority w:val="0"/>
    <w:pPr>
      <w:ind w:firstLine="200" w:firstLineChars="200"/>
      <w:jc w:val="left"/>
    </w:pPr>
    <w:rPr>
      <w:rFonts w:eastAsia="楷体_GB2312" w:cs="宋体"/>
      <w:color w:val="000000"/>
      <w:spacing w:val="6"/>
      <w:sz w:val="28"/>
      <w:szCs w:val="20"/>
    </w:rPr>
  </w:style>
  <w:style w:type="paragraph" w:customStyle="1" w:styleId="42">
    <w:name w:val="表格"/>
    <w:basedOn w:val="6"/>
    <w:next w:val="1"/>
    <w:qFormat/>
    <w:uiPriority w:val="0"/>
    <w:pPr>
      <w:adjustRightInd w:val="0"/>
      <w:snapToGrid w:val="0"/>
      <w:spacing w:beforeLines="10" w:afterLines="10" w:line="259" w:lineRule="auto"/>
      <w:jc w:val="center"/>
    </w:pPr>
    <w:rPr>
      <w:rFonts w:ascii="宋体"/>
      <w:kern w:val="0"/>
      <w:szCs w:val="20"/>
    </w:rPr>
  </w:style>
  <w:style w:type="paragraph" w:customStyle="1" w:styleId="43">
    <w:name w:val="图标题"/>
    <w:basedOn w:val="1"/>
    <w:qFormat/>
    <w:uiPriority w:val="0"/>
    <w:pPr>
      <w:tabs>
        <w:tab w:val="left" w:pos="1035"/>
      </w:tabs>
      <w:spacing w:afterLines="100"/>
      <w:jc w:val="center"/>
    </w:pPr>
    <w:rPr>
      <w:sz w:val="24"/>
    </w:rPr>
  </w:style>
  <w:style w:type="paragraph" w:customStyle="1" w:styleId="44">
    <w:name w:val="表格及表头"/>
    <w:basedOn w:val="1"/>
    <w:next w:val="1"/>
    <w:qFormat/>
    <w:uiPriority w:val="0"/>
    <w:rPr>
      <w:szCs w:val="21"/>
    </w:rPr>
  </w:style>
  <w:style w:type="paragraph" w:customStyle="1" w:styleId="45">
    <w:name w:val="p17"/>
    <w:basedOn w:val="1"/>
    <w:qFormat/>
    <w:uiPriority w:val="0"/>
    <w:pPr>
      <w:widowControl/>
      <w:spacing w:after="120"/>
    </w:pPr>
    <w:rPr>
      <w:kern w:val="0"/>
      <w:sz w:val="30"/>
      <w:szCs w:val="30"/>
    </w:rPr>
  </w:style>
  <w:style w:type="paragraph" w:customStyle="1" w:styleId="46">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47">
    <w:name w:val="ggzbt011"/>
    <w:basedOn w:val="30"/>
    <w:qFormat/>
    <w:uiPriority w:val="0"/>
  </w:style>
  <w:style w:type="paragraph" w:customStyle="1" w:styleId="48">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49">
    <w:name w:val="dz1"/>
    <w:qFormat/>
    <w:uiPriority w:val="0"/>
    <w:rPr>
      <w:rFonts w:hint="default" w:ascii="Geneva" w:hAnsi="Geneva"/>
      <w:sz w:val="20"/>
      <w:szCs w:val="20"/>
    </w:rPr>
  </w:style>
  <w:style w:type="paragraph" w:customStyle="1" w:styleId="50">
    <w:name w:val="制表格"/>
    <w:basedOn w:val="1"/>
    <w:qFormat/>
    <w:uiPriority w:val="0"/>
    <w:pPr>
      <w:jc w:val="center"/>
    </w:pPr>
    <w:rPr>
      <w:snapToGrid w:val="0"/>
      <w:kern w:val="0"/>
      <w:szCs w:val="28"/>
    </w:rPr>
  </w:style>
  <w:style w:type="paragraph" w:customStyle="1" w:styleId="51">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2">
    <w:name w:val="11"/>
    <w:basedOn w:val="11"/>
    <w:next w:val="16"/>
    <w:qFormat/>
    <w:uiPriority w:val="0"/>
    <w:pPr>
      <w:autoSpaceDE w:val="0"/>
      <w:autoSpaceDN w:val="0"/>
      <w:adjustRightInd w:val="0"/>
      <w:spacing w:after="0" w:line="360" w:lineRule="auto"/>
      <w:ind w:firstLine="1320" w:firstLineChars="550"/>
      <w:textAlignment w:val="baseline"/>
    </w:pPr>
    <w:rPr>
      <w:sz w:val="24"/>
    </w:rPr>
  </w:style>
  <w:style w:type="paragraph" w:customStyle="1" w:styleId="53">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表头（书）"/>
    <w:basedOn w:val="1"/>
    <w:next w:val="42"/>
    <w:qFormat/>
    <w:uiPriority w:val="0"/>
    <w:pPr>
      <w:numPr>
        <w:ilvl w:val="4"/>
        <w:numId w:val="1"/>
      </w:numPr>
      <w:jc w:val="center"/>
    </w:pPr>
    <w:rPr>
      <w:b/>
      <w:bCs/>
    </w:rPr>
  </w:style>
  <w:style w:type="paragraph" w:customStyle="1" w:styleId="56">
    <w:name w:val="无间隔1"/>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7">
    <w:name w:val="p0"/>
    <w:basedOn w:val="1"/>
    <w:qFormat/>
    <w:uiPriority w:val="0"/>
    <w:pPr>
      <w:widowControl/>
    </w:pPr>
    <w:rPr>
      <w:rFonts w:eastAsia="Arial Unicode MS"/>
      <w:kern w:val="0"/>
      <w:szCs w:val="21"/>
    </w:rPr>
  </w:style>
  <w:style w:type="paragraph" w:customStyle="1" w:styleId="58">
    <w:name w:val="赵"/>
    <w:basedOn w:val="1"/>
    <w:qFormat/>
    <w:uiPriority w:val="0"/>
    <w:pPr>
      <w:spacing w:line="360" w:lineRule="auto"/>
      <w:ind w:firstLine="200" w:firstLineChars="200"/>
    </w:pPr>
    <w:rPr>
      <w:color w:val="000000"/>
      <w:kern w:val="0"/>
      <w:sz w:val="24"/>
    </w:rPr>
  </w:style>
  <w:style w:type="paragraph" w:customStyle="1" w:styleId="59">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0">
    <w:name w:val="填表5中"/>
    <w:basedOn w:val="1"/>
    <w:next w:val="1"/>
    <w:qFormat/>
    <w:uiPriority w:val="0"/>
    <w:pPr>
      <w:spacing w:line="300" w:lineRule="exact"/>
      <w:jc w:val="center"/>
    </w:pPr>
    <w:rPr>
      <w:rFonts w:ascii="宋体"/>
      <w:sz w:val="24"/>
      <w:szCs w:val="21"/>
    </w:rPr>
  </w:style>
  <w:style w:type="character" w:customStyle="1" w:styleId="61">
    <w:name w:val="fw2"/>
    <w:basedOn w:val="30"/>
    <w:qFormat/>
    <w:uiPriority w:val="0"/>
  </w:style>
  <w:style w:type="paragraph" w:customStyle="1" w:styleId="62">
    <w:name w:val="_Style 2"/>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3">
    <w:name w:val="1文章"/>
    <w:basedOn w:val="1"/>
    <w:qFormat/>
    <w:uiPriority w:val="0"/>
    <w:pPr>
      <w:spacing w:line="360" w:lineRule="auto"/>
      <w:ind w:firstLine="573"/>
    </w:pPr>
    <w:rPr>
      <w:rFonts w:eastAsia="楷体_GB2312"/>
      <w:sz w:val="28"/>
      <w:szCs w:val="20"/>
    </w:rPr>
  </w:style>
  <w:style w:type="paragraph" w:customStyle="1" w:styleId="64">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5">
    <w:name w:val="列出段落1"/>
    <w:basedOn w:val="1"/>
    <w:qFormat/>
    <w:uiPriority w:val="0"/>
    <w:pPr>
      <w:ind w:firstLine="420" w:firstLineChars="200"/>
    </w:pPr>
    <w:rPr>
      <w:szCs w:val="22"/>
    </w:rPr>
  </w:style>
  <w:style w:type="paragraph" w:customStyle="1" w:styleId="66">
    <w:name w:val="报告表格"/>
    <w:basedOn w:val="1"/>
    <w:link w:val="120"/>
    <w:qFormat/>
    <w:uiPriority w:val="0"/>
    <w:pPr>
      <w:autoSpaceDE w:val="0"/>
      <w:autoSpaceDN w:val="0"/>
      <w:adjustRightInd w:val="0"/>
      <w:spacing w:before="40" w:after="40"/>
      <w:jc w:val="center"/>
    </w:pPr>
    <w:rPr>
      <w:color w:val="FF0000"/>
      <w:kern w:val="0"/>
    </w:rPr>
  </w:style>
  <w:style w:type="paragraph" w:customStyle="1" w:styleId="67">
    <w:name w:val="正文01"/>
    <w:basedOn w:val="2"/>
    <w:qFormat/>
    <w:uiPriority w:val="0"/>
    <w:pPr>
      <w:keepNext w:val="0"/>
      <w:keepLines w:val="0"/>
      <w:adjustRightInd/>
      <w:snapToGrid/>
      <w:spacing w:before="60" w:line="460" w:lineRule="exact"/>
      <w:ind w:firstLine="200" w:firstLineChars="200"/>
      <w:outlineLvl w:val="9"/>
    </w:pPr>
    <w:rPr>
      <w:b w:val="0"/>
    </w:rPr>
  </w:style>
  <w:style w:type="paragraph" w:customStyle="1" w:styleId="68">
    <w:name w:val="表格 32"/>
    <w:basedOn w:val="1"/>
    <w:qFormat/>
    <w:uiPriority w:val="0"/>
    <w:pPr>
      <w:autoSpaceDE w:val="0"/>
      <w:autoSpaceDN w:val="0"/>
      <w:adjustRightInd w:val="0"/>
      <w:jc w:val="center"/>
      <w:textAlignment w:val="baseline"/>
    </w:pPr>
    <w:rPr>
      <w:rFonts w:ascii="宋体" w:hAnsi="Impact"/>
      <w:kern w:val="24"/>
    </w:rPr>
  </w:style>
  <w:style w:type="paragraph" w:customStyle="1" w:styleId="69">
    <w:name w:val="reader-word-layer reader-word-s6-8"/>
    <w:basedOn w:val="1"/>
    <w:qFormat/>
    <w:uiPriority w:val="0"/>
    <w:pPr>
      <w:widowControl/>
      <w:spacing w:before="100" w:beforeAutospacing="1" w:after="100" w:afterAutospacing="1"/>
      <w:jc w:val="left"/>
    </w:pPr>
    <w:rPr>
      <w:rFonts w:cs="宋体"/>
      <w:kern w:val="0"/>
      <w:sz w:val="24"/>
    </w:rPr>
  </w:style>
  <w:style w:type="paragraph" w:customStyle="1" w:styleId="70">
    <w:name w:val="正文样式1"/>
    <w:basedOn w:val="1"/>
    <w:qFormat/>
    <w:uiPriority w:val="0"/>
    <w:pPr>
      <w:adjustRightInd w:val="0"/>
      <w:spacing w:line="288" w:lineRule="auto"/>
      <w:ind w:firstLine="360" w:firstLineChars="150"/>
      <w:textAlignment w:val="baseline"/>
    </w:pPr>
    <w:rPr>
      <w:kern w:val="0"/>
      <w:sz w:val="24"/>
      <w:szCs w:val="20"/>
    </w:rPr>
  </w:style>
  <w:style w:type="character" w:customStyle="1" w:styleId="71">
    <w:name w:val="正文文本 Char1"/>
    <w:qFormat/>
    <w:uiPriority w:val="0"/>
    <w:rPr>
      <w:rFonts w:eastAsia="宋体"/>
      <w:kern w:val="2"/>
      <w:sz w:val="28"/>
      <w:szCs w:val="24"/>
      <w:lang w:val="en-US" w:eastAsia="zh-CN" w:bidi="ar-SA"/>
    </w:rPr>
  </w:style>
  <w:style w:type="paragraph" w:customStyle="1" w:styleId="72">
    <w:name w:val="文本22"/>
    <w:basedOn w:val="1"/>
    <w:qFormat/>
    <w:uiPriority w:val="0"/>
    <w:pPr>
      <w:autoSpaceDE w:val="0"/>
      <w:autoSpaceDN w:val="0"/>
      <w:adjustRightInd w:val="0"/>
      <w:spacing w:line="360" w:lineRule="auto"/>
      <w:ind w:firstLine="480" w:firstLineChars="200"/>
    </w:pPr>
    <w:rPr>
      <w:sz w:val="24"/>
    </w:rPr>
  </w:style>
  <w:style w:type="paragraph" w:customStyle="1" w:styleId="73">
    <w:name w:val="样式 cucd-0 + (西文) Arial (中文) 仿宋_GB2312"/>
    <w:basedOn w:val="1"/>
    <w:qFormat/>
    <w:uiPriority w:val="0"/>
    <w:pPr>
      <w:widowControl/>
      <w:spacing w:line="360" w:lineRule="auto"/>
      <w:ind w:firstLine="480" w:firstLineChars="200"/>
      <w:jc w:val="left"/>
    </w:pPr>
    <w:rPr>
      <w:rFonts w:ascii="Arial" w:hAnsi="Arial" w:eastAsia="仿宋_GB2312"/>
      <w:sz w:val="28"/>
      <w:szCs w:val="21"/>
    </w:rPr>
  </w:style>
  <w:style w:type="paragraph" w:customStyle="1" w:styleId="74">
    <w:name w:val="缩进2正文"/>
    <w:basedOn w:val="75"/>
    <w:qFormat/>
    <w:uiPriority w:val="0"/>
    <w:pPr>
      <w:tabs>
        <w:tab w:val="left" w:pos="4860"/>
      </w:tabs>
      <w:ind w:firstLine="560"/>
      <w:jc w:val="both"/>
    </w:pPr>
    <w:rPr>
      <w:sz w:val="28"/>
      <w:szCs w:val="28"/>
    </w:rPr>
  </w:style>
  <w:style w:type="paragraph" w:customStyle="1" w:styleId="75">
    <w:name w:val="报告正文"/>
    <w:basedOn w:val="1"/>
    <w:qFormat/>
    <w:uiPriority w:val="0"/>
    <w:pPr>
      <w:spacing w:line="360" w:lineRule="auto"/>
      <w:ind w:firstLine="200" w:firstLineChars="200"/>
      <w:jc w:val="left"/>
    </w:pPr>
    <w:rPr>
      <w:sz w:val="24"/>
    </w:rPr>
  </w:style>
  <w:style w:type="paragraph" w:customStyle="1" w:styleId="76">
    <w:name w:val="列出段落11"/>
    <w:basedOn w:val="1"/>
    <w:qFormat/>
    <w:uiPriority w:val="34"/>
    <w:pPr>
      <w:ind w:firstLine="420" w:firstLineChars="200"/>
    </w:pPr>
    <w:rPr>
      <w:szCs w:val="20"/>
    </w:rPr>
  </w:style>
  <w:style w:type="paragraph" w:customStyle="1" w:styleId="77">
    <w:name w:val="Char"/>
    <w:basedOn w:val="1"/>
    <w:qFormat/>
    <w:uiPriority w:val="0"/>
    <w:pPr>
      <w:snapToGrid w:val="0"/>
      <w:spacing w:line="360" w:lineRule="auto"/>
      <w:ind w:firstLine="529" w:firstLineChars="200"/>
    </w:pPr>
  </w:style>
  <w:style w:type="paragraph" w:customStyle="1" w:styleId="78">
    <w:name w:val="Table Paragraph"/>
    <w:basedOn w:val="1"/>
    <w:unhideWhenUsed/>
    <w:qFormat/>
    <w:uiPriority w:val="1"/>
    <w:rPr>
      <w:sz w:val="24"/>
    </w:rPr>
  </w:style>
  <w:style w:type="paragraph" w:customStyle="1" w:styleId="79">
    <w:name w:val="样式1"/>
    <w:basedOn w:val="5"/>
    <w:qFormat/>
    <w:uiPriority w:val="0"/>
    <w:pPr>
      <w:spacing w:before="160" w:after="170" w:line="372" w:lineRule="auto"/>
    </w:pPr>
    <w:rPr>
      <w:rFonts w:eastAsia="仿宋_GB2312"/>
    </w:rPr>
  </w:style>
  <w:style w:type="paragraph" w:customStyle="1" w:styleId="80">
    <w:name w:val="样式 (西文) Times New Roman 小四 行距: 1.5 倍行距 首行缩进:  2 字符"/>
    <w:basedOn w:val="1"/>
    <w:qFormat/>
    <w:uiPriority w:val="0"/>
    <w:pPr>
      <w:spacing w:line="360" w:lineRule="auto"/>
      <w:ind w:firstLine="480" w:firstLineChars="200"/>
    </w:pPr>
    <w:rPr>
      <w:rFonts w:cs="宋体"/>
      <w:sz w:val="24"/>
      <w:szCs w:val="20"/>
    </w:rPr>
  </w:style>
  <w:style w:type="paragraph" w:customStyle="1" w:styleId="81">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2">
    <w:name w:val="表格内容"/>
    <w:basedOn w:val="1"/>
    <w:qFormat/>
    <w:uiPriority w:val="0"/>
    <w:pPr>
      <w:adjustRightInd w:val="0"/>
      <w:snapToGrid w:val="0"/>
      <w:jc w:val="center"/>
    </w:pPr>
    <w:rPr>
      <w:rFonts w:eastAsia="Times New Roman"/>
      <w:szCs w:val="21"/>
    </w:rPr>
  </w:style>
  <w:style w:type="paragraph" w:customStyle="1" w:styleId="83">
    <w:name w:val="1正文段落"/>
    <w:basedOn w:val="1"/>
    <w:unhideWhenUsed/>
    <w:qFormat/>
    <w:uiPriority w:val="0"/>
    <w:pPr>
      <w:spacing w:line="360" w:lineRule="auto"/>
      <w:ind w:firstLine="200" w:firstLineChars="200"/>
    </w:pPr>
    <w:rPr>
      <w:snapToGrid w:val="0"/>
      <w:kern w:val="0"/>
      <w:sz w:val="24"/>
    </w:rPr>
  </w:style>
  <w:style w:type="paragraph" w:customStyle="1" w:styleId="84">
    <w:name w:val="表格文字"/>
    <w:basedOn w:val="85"/>
    <w:next w:val="11"/>
    <w:qFormat/>
    <w:uiPriority w:val="0"/>
    <w:pPr>
      <w:spacing w:line="320" w:lineRule="exact"/>
      <w:jc w:val="center"/>
    </w:pPr>
    <w:rPr>
      <w:rFonts w:ascii="宋体"/>
      <w:szCs w:val="24"/>
    </w:rPr>
  </w:style>
  <w:style w:type="paragraph" w:customStyle="1" w:styleId="85">
    <w:name w:val="方案正文"/>
    <w:basedOn w:val="1"/>
    <w:qFormat/>
    <w:uiPriority w:val="0"/>
    <w:rPr>
      <w:kern w:val="0"/>
      <w:sz w:val="24"/>
      <w:szCs w:val="20"/>
    </w:rPr>
  </w:style>
  <w:style w:type="paragraph" w:customStyle="1" w:styleId="86">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7">
    <w:name w:val="表头"/>
    <w:basedOn w:val="1"/>
    <w:next w:val="1"/>
    <w:qFormat/>
    <w:uiPriority w:val="0"/>
    <w:pPr>
      <w:spacing w:line="360" w:lineRule="auto"/>
      <w:ind w:firstLine="2169" w:firstLineChars="1029"/>
    </w:pPr>
    <w:rPr>
      <w:rFonts w:ascii="宋体" w:hAnsi="宋体"/>
      <w:b/>
      <w:kern w:val="0"/>
      <w:szCs w:val="21"/>
    </w:rPr>
  </w:style>
  <w:style w:type="character" w:customStyle="1" w:styleId="88">
    <w:name w:val="font01"/>
    <w:basedOn w:val="30"/>
    <w:qFormat/>
    <w:uiPriority w:val="0"/>
    <w:rPr>
      <w:rFonts w:hint="eastAsia" w:ascii="宋体" w:hAnsi="宋体" w:eastAsia="宋体" w:cs="宋体"/>
      <w:color w:val="000000"/>
      <w:sz w:val="21"/>
      <w:szCs w:val="21"/>
      <w:u w:val="none"/>
    </w:rPr>
  </w:style>
  <w:style w:type="character" w:customStyle="1" w:styleId="89">
    <w:name w:val="font21"/>
    <w:basedOn w:val="30"/>
    <w:qFormat/>
    <w:uiPriority w:val="0"/>
    <w:rPr>
      <w:rFonts w:hint="default" w:ascii="Times New Roman" w:hAnsi="Times New Roman" w:cs="Times New Roman"/>
      <w:color w:val="000000"/>
      <w:sz w:val="21"/>
      <w:szCs w:val="21"/>
      <w:u w:val="none"/>
    </w:rPr>
  </w:style>
  <w:style w:type="character" w:customStyle="1" w:styleId="90">
    <w:name w:val="font41"/>
    <w:basedOn w:val="30"/>
    <w:qFormat/>
    <w:uiPriority w:val="0"/>
    <w:rPr>
      <w:rFonts w:hint="default" w:ascii="Times New Roman" w:hAnsi="Times New Roman" w:cs="Times New Roman"/>
      <w:b/>
      <w:bCs/>
      <w:color w:val="000000"/>
      <w:sz w:val="21"/>
      <w:szCs w:val="21"/>
      <w:u w:val="none"/>
    </w:rPr>
  </w:style>
  <w:style w:type="character" w:customStyle="1" w:styleId="91">
    <w:name w:val="font31"/>
    <w:basedOn w:val="30"/>
    <w:qFormat/>
    <w:uiPriority w:val="0"/>
    <w:rPr>
      <w:rFonts w:hint="default" w:ascii="Times New Roman" w:hAnsi="Times New Roman" w:cs="Times New Roman"/>
      <w:color w:val="000000"/>
      <w:sz w:val="21"/>
      <w:szCs w:val="21"/>
      <w:u w:val="none"/>
    </w:rPr>
  </w:style>
  <w:style w:type="character" w:customStyle="1" w:styleId="92">
    <w:name w:val="font51"/>
    <w:basedOn w:val="30"/>
    <w:qFormat/>
    <w:uiPriority w:val="0"/>
    <w:rPr>
      <w:rFonts w:hint="default" w:ascii="Times New Roman" w:hAnsi="Times New Roman" w:cs="Times New Roman"/>
      <w:color w:val="000000"/>
      <w:sz w:val="21"/>
      <w:szCs w:val="21"/>
      <w:u w:val="none"/>
      <w:vertAlign w:val="subscript"/>
    </w:rPr>
  </w:style>
  <w:style w:type="character" w:customStyle="1" w:styleId="93">
    <w:name w:val="正文文本_"/>
    <w:link w:val="94"/>
    <w:qFormat/>
    <w:locked/>
    <w:uiPriority w:val="99"/>
    <w:rPr>
      <w:rFonts w:ascii="MingLiU" w:hAnsi="MingLiU" w:eastAsia="MingLiU"/>
      <w:spacing w:val="10"/>
      <w:kern w:val="0"/>
      <w:szCs w:val="21"/>
    </w:rPr>
  </w:style>
  <w:style w:type="paragraph" w:customStyle="1" w:styleId="94">
    <w:name w:val="正文文本3"/>
    <w:basedOn w:val="1"/>
    <w:link w:val="93"/>
    <w:qFormat/>
    <w:uiPriority w:val="99"/>
    <w:pPr>
      <w:shd w:val="clear" w:color="auto" w:fill="FFFFFF"/>
      <w:spacing w:before="240" w:line="466" w:lineRule="exact"/>
      <w:ind w:hanging="480"/>
      <w:jc w:val="distribute"/>
    </w:pPr>
    <w:rPr>
      <w:rFonts w:ascii="MingLiU" w:hAnsi="MingLiU" w:eastAsia="MingLiU"/>
      <w:spacing w:val="10"/>
      <w:kern w:val="0"/>
      <w:szCs w:val="21"/>
    </w:rPr>
  </w:style>
  <w:style w:type="paragraph" w:customStyle="1" w:styleId="95">
    <w:name w:val="wlm表头"/>
    <w:basedOn w:val="1"/>
    <w:qFormat/>
    <w:uiPriority w:val="0"/>
    <w:pPr>
      <w:jc w:val="center"/>
    </w:pPr>
    <w:rPr>
      <w:b/>
      <w:szCs w:val="21"/>
    </w:rPr>
  </w:style>
  <w:style w:type="paragraph" w:customStyle="1" w:styleId="96">
    <w:name w:val="wlm表格"/>
    <w:basedOn w:val="1"/>
    <w:qFormat/>
    <w:uiPriority w:val="0"/>
    <w:pPr>
      <w:snapToGrid w:val="0"/>
      <w:jc w:val="center"/>
    </w:pPr>
    <w:rPr>
      <w:snapToGrid w:val="0"/>
      <w:spacing w:val="2"/>
      <w:szCs w:val="21"/>
    </w:rPr>
  </w:style>
  <w:style w:type="paragraph" w:customStyle="1" w:styleId="97">
    <w:name w:val="正文四号"/>
    <w:basedOn w:val="1"/>
    <w:qFormat/>
    <w:uiPriority w:val="0"/>
    <w:pPr>
      <w:spacing w:line="600" w:lineRule="exact"/>
      <w:ind w:firstLine="200" w:firstLineChars="200"/>
    </w:pPr>
    <w:rPr>
      <w:rFonts w:ascii="Calibri" w:hAnsi="Calibri" w:eastAsia="仿宋_GB2312"/>
      <w:sz w:val="28"/>
      <w:szCs w:val="28"/>
    </w:rPr>
  </w:style>
  <w:style w:type="paragraph" w:customStyle="1" w:styleId="98">
    <w:name w:val="表头、图尾"/>
    <w:basedOn w:val="1"/>
    <w:qFormat/>
    <w:uiPriority w:val="0"/>
    <w:pPr>
      <w:spacing w:beforeLines="50" w:afterLines="20"/>
      <w:jc w:val="center"/>
      <w:outlineLvl w:val="1"/>
    </w:pPr>
    <w:rPr>
      <w:b/>
    </w:rPr>
  </w:style>
  <w:style w:type="character" w:customStyle="1" w:styleId="99">
    <w:name w:val="NormalCharacter"/>
    <w:qFormat/>
    <w:uiPriority w:val="0"/>
  </w:style>
  <w:style w:type="paragraph" w:customStyle="1" w:styleId="100">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1">
    <w:name w:val="表格标题"/>
    <w:basedOn w:val="1"/>
    <w:qFormat/>
    <w:uiPriority w:val="0"/>
    <w:pPr>
      <w:spacing w:line="540" w:lineRule="exact"/>
      <w:jc w:val="center"/>
    </w:pPr>
    <w:rPr>
      <w:rFonts w:ascii="宋体" w:hAnsi="宋体"/>
      <w:bCs/>
      <w:sz w:val="24"/>
    </w:rPr>
  </w:style>
  <w:style w:type="character" w:customStyle="1" w:styleId="102">
    <w:name w:val="viewthreadtxt"/>
    <w:basedOn w:val="30"/>
    <w:qFormat/>
    <w:uiPriority w:val="0"/>
  </w:style>
  <w:style w:type="paragraph" w:customStyle="1" w:styleId="103">
    <w:name w:val="Char Char Char Char"/>
    <w:basedOn w:val="1"/>
    <w:qFormat/>
    <w:uiPriority w:val="0"/>
    <w:pPr>
      <w:snapToGrid w:val="0"/>
      <w:spacing w:line="360" w:lineRule="auto"/>
      <w:ind w:firstLine="200" w:firstLineChars="200"/>
    </w:pPr>
    <w:rPr>
      <w:szCs w:val="20"/>
    </w:rPr>
  </w:style>
  <w:style w:type="character" w:customStyle="1" w:styleId="104">
    <w:name w:val="font11"/>
    <w:basedOn w:val="30"/>
    <w:qFormat/>
    <w:uiPriority w:val="0"/>
    <w:rPr>
      <w:rFonts w:hint="eastAsia" w:ascii="宋体" w:hAnsi="宋体" w:eastAsia="宋体" w:cs="宋体"/>
      <w:color w:val="000000"/>
      <w:sz w:val="21"/>
      <w:szCs w:val="21"/>
      <w:u w:val="none"/>
    </w:rPr>
  </w:style>
  <w:style w:type="character" w:customStyle="1" w:styleId="105">
    <w:name w:val="font61"/>
    <w:basedOn w:val="30"/>
    <w:qFormat/>
    <w:uiPriority w:val="0"/>
    <w:rPr>
      <w:rFonts w:hint="default" w:ascii="Times New Roman" w:hAnsi="Times New Roman" w:cs="Times New Roman"/>
      <w:color w:val="000000"/>
      <w:sz w:val="21"/>
      <w:szCs w:val="21"/>
      <w:u w:val="none"/>
      <w:vertAlign w:val="subscript"/>
    </w:rPr>
  </w:style>
  <w:style w:type="character" w:customStyle="1" w:styleId="106">
    <w:name w:val="批注框文本 Char"/>
    <w:basedOn w:val="30"/>
    <w:link w:val="20"/>
    <w:qFormat/>
    <w:uiPriority w:val="0"/>
    <w:rPr>
      <w:kern w:val="2"/>
      <w:sz w:val="18"/>
      <w:szCs w:val="18"/>
    </w:rPr>
  </w:style>
  <w:style w:type="paragraph" w:customStyle="1" w:styleId="107">
    <w:name w:val="标题1"/>
    <w:basedOn w:val="24"/>
    <w:link w:val="110"/>
    <w:qFormat/>
    <w:uiPriority w:val="0"/>
    <w:pPr>
      <w:adjustRightInd w:val="0"/>
      <w:snapToGrid w:val="0"/>
      <w:spacing w:before="0" w:beforeAutospacing="0" w:after="0" w:afterAutospacing="0"/>
      <w:jc w:val="center"/>
      <w:outlineLvl w:val="0"/>
    </w:pPr>
    <w:rPr>
      <w:rFonts w:ascii="Times New Roman" w:hAnsi="Times New Roman"/>
      <w:b/>
      <w:bCs/>
      <w:snapToGrid w:val="0"/>
      <w:sz w:val="30"/>
      <w:szCs w:val="30"/>
    </w:rPr>
  </w:style>
  <w:style w:type="paragraph" w:customStyle="1" w:styleId="108">
    <w:name w:val="标题2"/>
    <w:basedOn w:val="17"/>
    <w:link w:val="113"/>
    <w:qFormat/>
    <w:uiPriority w:val="0"/>
    <w:pPr>
      <w:adjustRightInd w:val="0"/>
      <w:snapToGrid w:val="0"/>
      <w:spacing w:before="120" w:after="120" w:line="360" w:lineRule="auto"/>
    </w:pPr>
    <w:rPr>
      <w:rFonts w:ascii="Times New Roman" w:hAnsi="Times New Roman"/>
      <w:b/>
      <w:color w:val="000000" w:themeColor="text1"/>
      <w:sz w:val="28"/>
      <w14:textFill>
        <w14:solidFill>
          <w14:schemeClr w14:val="tx1"/>
        </w14:solidFill>
      </w14:textFill>
    </w:rPr>
  </w:style>
  <w:style w:type="character" w:customStyle="1" w:styleId="109">
    <w:name w:val="普通(网站) Char"/>
    <w:basedOn w:val="30"/>
    <w:link w:val="24"/>
    <w:qFormat/>
    <w:uiPriority w:val="0"/>
    <w:rPr>
      <w:rFonts w:ascii="宋体" w:hAnsi="宋体"/>
      <w:sz w:val="24"/>
    </w:rPr>
  </w:style>
  <w:style w:type="character" w:customStyle="1" w:styleId="110">
    <w:name w:val="标题1 Char"/>
    <w:basedOn w:val="109"/>
    <w:link w:val="107"/>
    <w:qFormat/>
    <w:uiPriority w:val="0"/>
    <w:rPr>
      <w:rFonts w:ascii="宋体" w:hAnsi="宋体"/>
      <w:b/>
      <w:bCs/>
      <w:snapToGrid w:val="0"/>
      <w:sz w:val="30"/>
      <w:szCs w:val="30"/>
    </w:rPr>
  </w:style>
  <w:style w:type="paragraph" w:customStyle="1" w:styleId="111">
    <w:name w:val="标题3"/>
    <w:basedOn w:val="1"/>
    <w:link w:val="115"/>
    <w:qFormat/>
    <w:uiPriority w:val="0"/>
    <w:pPr>
      <w:adjustRightInd w:val="0"/>
      <w:snapToGrid w:val="0"/>
      <w:spacing w:line="360" w:lineRule="auto"/>
    </w:pPr>
    <w:rPr>
      <w:b/>
      <w:bCs/>
      <w:snapToGrid w:val="0"/>
      <w:kern w:val="24"/>
      <w:sz w:val="24"/>
      <w:lang w:val="zh-CN"/>
      <w14:numSpacing w14:val="proportional"/>
    </w:rPr>
  </w:style>
  <w:style w:type="character" w:customStyle="1" w:styleId="112">
    <w:name w:val="纯文本 Char"/>
    <w:basedOn w:val="30"/>
    <w:qFormat/>
    <w:uiPriority w:val="0"/>
    <w:rPr>
      <w:rFonts w:ascii="宋体" w:hAnsi="Courier New"/>
      <w:kern w:val="2"/>
      <w:sz w:val="21"/>
      <w:szCs w:val="24"/>
    </w:rPr>
  </w:style>
  <w:style w:type="character" w:customStyle="1" w:styleId="113">
    <w:name w:val="标题2 Char"/>
    <w:basedOn w:val="112"/>
    <w:link w:val="108"/>
    <w:qFormat/>
    <w:uiPriority w:val="0"/>
    <w:rPr>
      <w:rFonts w:ascii="宋体" w:hAnsi="Courier New"/>
      <w:b/>
      <w:color w:val="000000" w:themeColor="text1"/>
      <w:kern w:val="2"/>
      <w:sz w:val="28"/>
      <w:szCs w:val="24"/>
      <w14:textFill>
        <w14:solidFill>
          <w14:schemeClr w14:val="tx1"/>
        </w14:solidFill>
      </w14:textFill>
    </w:rPr>
  </w:style>
  <w:style w:type="paragraph" w:customStyle="1" w:styleId="114">
    <w:name w:val="图标标题"/>
    <w:basedOn w:val="1"/>
    <w:link w:val="117"/>
    <w:qFormat/>
    <w:uiPriority w:val="0"/>
    <w:pPr>
      <w:adjustRightInd w:val="0"/>
      <w:snapToGrid w:val="0"/>
      <w:jc w:val="center"/>
    </w:pPr>
    <w:rPr>
      <w:b/>
      <w:bCs/>
    </w:rPr>
  </w:style>
  <w:style w:type="character" w:customStyle="1" w:styleId="115">
    <w:name w:val="标题3 Char"/>
    <w:basedOn w:val="30"/>
    <w:link w:val="111"/>
    <w:qFormat/>
    <w:uiPriority w:val="0"/>
    <w:rPr>
      <w:b/>
      <w:bCs/>
      <w:snapToGrid w:val="0"/>
      <w:kern w:val="24"/>
      <w:sz w:val="24"/>
      <w:szCs w:val="24"/>
      <w:lang w:val="zh-CN"/>
      <w14:numSpacing w14:val="proportional"/>
    </w:rPr>
  </w:style>
  <w:style w:type="paragraph" w:customStyle="1" w:styleId="116">
    <w:name w:val="报告表 格"/>
    <w:basedOn w:val="1"/>
    <w:link w:val="119"/>
    <w:qFormat/>
    <w:uiPriority w:val="0"/>
    <w:pPr>
      <w:adjustRightInd w:val="0"/>
      <w:snapToGrid w:val="0"/>
      <w:jc w:val="center"/>
    </w:pPr>
    <w:rPr>
      <w:bCs/>
      <w:szCs w:val="21"/>
    </w:rPr>
  </w:style>
  <w:style w:type="character" w:customStyle="1" w:styleId="117">
    <w:name w:val="图标标题 Char"/>
    <w:basedOn w:val="30"/>
    <w:link w:val="114"/>
    <w:qFormat/>
    <w:uiPriority w:val="0"/>
    <w:rPr>
      <w:b/>
      <w:bCs/>
      <w:kern w:val="2"/>
      <w:sz w:val="21"/>
      <w:szCs w:val="24"/>
    </w:rPr>
  </w:style>
  <w:style w:type="paragraph" w:customStyle="1" w:styleId="118">
    <w:name w:val="表格正 文"/>
    <w:basedOn w:val="1"/>
    <w:link w:val="121"/>
    <w:qFormat/>
    <w:uiPriority w:val="0"/>
    <w:pPr>
      <w:adjustRightInd w:val="0"/>
      <w:snapToGrid w:val="0"/>
      <w:jc w:val="center"/>
    </w:pPr>
    <w:rPr>
      <w:sz w:val="24"/>
    </w:rPr>
  </w:style>
  <w:style w:type="character" w:customStyle="1" w:styleId="119">
    <w:name w:val="报告表 格 Char"/>
    <w:basedOn w:val="30"/>
    <w:link w:val="116"/>
    <w:qFormat/>
    <w:uiPriority w:val="0"/>
    <w:rPr>
      <w:bCs/>
      <w:kern w:val="2"/>
      <w:sz w:val="21"/>
      <w:szCs w:val="21"/>
    </w:rPr>
  </w:style>
  <w:style w:type="character" w:customStyle="1" w:styleId="120">
    <w:name w:val="报告表格 Char"/>
    <w:link w:val="66"/>
    <w:qFormat/>
    <w:uiPriority w:val="0"/>
    <w:rPr>
      <w:color w:val="FF0000"/>
      <w:sz w:val="21"/>
      <w:szCs w:val="24"/>
    </w:rPr>
  </w:style>
  <w:style w:type="character" w:customStyle="1" w:styleId="121">
    <w:name w:val="表格正 文 Char"/>
    <w:basedOn w:val="30"/>
    <w:link w:val="118"/>
    <w:qFormat/>
    <w:uiPriority w:val="0"/>
    <w:rPr>
      <w:kern w:val="2"/>
      <w:sz w:val="24"/>
      <w:szCs w:val="24"/>
    </w:rPr>
  </w:style>
  <w:style w:type="paragraph" w:customStyle="1" w:styleId="122">
    <w:name w:val="正 文"/>
    <w:basedOn w:val="1"/>
    <w:link w:val="123"/>
    <w:qFormat/>
    <w:uiPriority w:val="0"/>
    <w:pPr>
      <w:adjustRightInd w:val="0"/>
      <w:snapToGrid w:val="0"/>
      <w:spacing w:line="360" w:lineRule="auto"/>
      <w:ind w:firstLine="480" w:firstLineChars="200"/>
    </w:pPr>
    <w:rPr>
      <w:sz w:val="24"/>
      <w:lang w:val="zh-CN"/>
    </w:rPr>
  </w:style>
  <w:style w:type="character" w:customStyle="1" w:styleId="123">
    <w:name w:val="正 文 Char"/>
    <w:basedOn w:val="30"/>
    <w:link w:val="122"/>
    <w:qFormat/>
    <w:uiPriority w:val="0"/>
    <w:rPr>
      <w:kern w:val="2"/>
      <w:sz w:val="24"/>
      <w:szCs w:val="24"/>
      <w:lang w:val="zh-CN"/>
    </w:rPr>
  </w:style>
  <w:style w:type="paragraph" w:customStyle="1" w:styleId="124">
    <w:name w:val="正文3"/>
    <w:basedOn w:val="1"/>
    <w:link w:val="125"/>
    <w:qFormat/>
    <w:uiPriority w:val="0"/>
    <w:pPr>
      <w:wordWrap w:val="0"/>
      <w:spacing w:line="360" w:lineRule="auto"/>
      <w:ind w:firstLine="200" w:firstLineChars="200"/>
    </w:pPr>
  </w:style>
  <w:style w:type="character" w:customStyle="1" w:styleId="125">
    <w:name w:val="正文3 Char"/>
    <w:link w:val="124"/>
    <w:qFormat/>
    <w:uiPriority w:val="0"/>
    <w:rPr>
      <w:kern w:val="2"/>
      <w:sz w:val="21"/>
      <w:szCs w:val="24"/>
    </w:rPr>
  </w:style>
  <w:style w:type="paragraph" w:customStyle="1" w:styleId="126">
    <w:name w:val="图表标题"/>
    <w:link w:val="134"/>
    <w:qFormat/>
    <w:uiPriority w:val="0"/>
    <w:pPr>
      <w:widowControl w:val="0"/>
      <w:autoSpaceDE w:val="0"/>
      <w:autoSpaceDN w:val="0"/>
      <w:adjustRightInd w:val="0"/>
      <w:jc w:val="center"/>
      <w:textAlignment w:val="baseline"/>
    </w:pPr>
    <w:rPr>
      <w:rFonts w:ascii="Times New Roman" w:hAnsi="Times New Roman" w:eastAsia="宋体" w:cs="Times New Roman"/>
      <w:b/>
      <w:color w:val="000000"/>
      <w:sz w:val="21"/>
      <w:lang w:val="en-US" w:eastAsia="zh-CN" w:bidi="ar-SA"/>
    </w:rPr>
  </w:style>
  <w:style w:type="character" w:customStyle="1" w:styleId="127">
    <w:name w:val="题注 Char"/>
    <w:link w:val="7"/>
    <w:qFormat/>
    <w:uiPriority w:val="35"/>
    <w:rPr>
      <w:rFonts w:ascii="Arial" w:hAnsi="Arial" w:eastAsia="黑体" w:cs="Arial"/>
      <w:kern w:val="2"/>
    </w:rPr>
  </w:style>
  <w:style w:type="character" w:customStyle="1" w:styleId="128">
    <w:name w:val="批注文字 Char"/>
    <w:basedOn w:val="30"/>
    <w:link w:val="9"/>
    <w:qFormat/>
    <w:uiPriority w:val="0"/>
    <w:rPr>
      <w:kern w:val="2"/>
      <w:sz w:val="21"/>
      <w:szCs w:val="24"/>
    </w:rPr>
  </w:style>
  <w:style w:type="character" w:customStyle="1" w:styleId="129">
    <w:name w:val="批注主题 Char"/>
    <w:basedOn w:val="128"/>
    <w:link w:val="25"/>
    <w:qFormat/>
    <w:uiPriority w:val="0"/>
    <w:rPr>
      <w:b/>
      <w:bCs/>
      <w:kern w:val="2"/>
      <w:sz w:val="21"/>
      <w:szCs w:val="24"/>
    </w:rPr>
  </w:style>
  <w:style w:type="paragraph" w:customStyle="1" w:styleId="130">
    <w:name w:val="SH表格文字"/>
    <w:basedOn w:val="84"/>
    <w:link w:val="131"/>
    <w:qFormat/>
    <w:uiPriority w:val="0"/>
    <w:pPr>
      <w:widowControl/>
      <w:autoSpaceDE w:val="0"/>
      <w:autoSpaceDN w:val="0"/>
      <w:adjustRightInd w:val="0"/>
      <w:snapToGrid w:val="0"/>
      <w:spacing w:line="240" w:lineRule="auto"/>
      <w:textAlignment w:val="bottom"/>
    </w:pPr>
    <w:rPr>
      <w:rFonts w:ascii="Times New Roman" w:eastAsia="仿宋"/>
      <w:sz w:val="21"/>
      <w:szCs w:val="21"/>
    </w:rPr>
  </w:style>
  <w:style w:type="character" w:customStyle="1" w:styleId="131">
    <w:name w:val="SH表格文字 Char"/>
    <w:basedOn w:val="30"/>
    <w:link w:val="130"/>
    <w:qFormat/>
    <w:uiPriority w:val="0"/>
    <w:rPr>
      <w:rFonts w:eastAsia="仿宋"/>
      <w:sz w:val="21"/>
      <w:szCs w:val="21"/>
    </w:rPr>
  </w:style>
  <w:style w:type="character" w:customStyle="1" w:styleId="132">
    <w:name w:val="正文文本 Char"/>
    <w:basedOn w:val="30"/>
    <w:link w:val="11"/>
    <w:qFormat/>
    <w:uiPriority w:val="0"/>
    <w:rPr>
      <w:kern w:val="2"/>
      <w:sz w:val="21"/>
      <w:szCs w:val="24"/>
    </w:rPr>
  </w:style>
  <w:style w:type="paragraph" w:customStyle="1" w:styleId="133">
    <w:name w:val="这是正文"/>
    <w:basedOn w:val="1"/>
    <w:link w:val="142"/>
    <w:qFormat/>
    <w:uiPriority w:val="0"/>
    <w:pPr>
      <w:wordWrap w:val="0"/>
      <w:adjustRightInd w:val="0"/>
      <w:spacing w:line="360" w:lineRule="auto"/>
      <w:ind w:firstLine="200" w:firstLineChars="200"/>
      <w:textAlignment w:val="baseline"/>
    </w:pPr>
    <w:rPr>
      <w:b/>
      <w:kern w:val="0"/>
      <w:sz w:val="24"/>
      <w:szCs w:val="20"/>
    </w:rPr>
  </w:style>
  <w:style w:type="character" w:customStyle="1" w:styleId="134">
    <w:name w:val="图表标题 Char"/>
    <w:link w:val="126"/>
    <w:qFormat/>
    <w:uiPriority w:val="0"/>
    <w:rPr>
      <w:b/>
      <w:color w:val="000000"/>
      <w:sz w:val="21"/>
    </w:rPr>
  </w:style>
  <w:style w:type="character" w:customStyle="1" w:styleId="135">
    <w:name w:val="称呼 Char"/>
    <w:basedOn w:val="30"/>
    <w:link w:val="10"/>
    <w:qFormat/>
    <w:uiPriority w:val="0"/>
    <w:rPr>
      <w:kern w:val="2"/>
      <w:sz w:val="21"/>
      <w:szCs w:val="24"/>
    </w:rPr>
  </w:style>
  <w:style w:type="character" w:customStyle="1" w:styleId="136">
    <w:name w:val="正文首行缩进 2 Char"/>
    <w:basedOn w:val="30"/>
    <w:link w:val="27"/>
    <w:qFormat/>
    <w:uiPriority w:val="0"/>
    <w:rPr>
      <w:kern w:val="2"/>
      <w:sz w:val="21"/>
      <w:szCs w:val="24"/>
    </w:rPr>
  </w:style>
  <w:style w:type="paragraph" w:customStyle="1" w:styleId="137">
    <w:name w:val="SH正文"/>
    <w:basedOn w:val="1"/>
    <w:link w:val="138"/>
    <w:qFormat/>
    <w:uiPriority w:val="0"/>
    <w:pPr>
      <w:autoSpaceDE w:val="0"/>
      <w:autoSpaceDN w:val="0"/>
      <w:adjustRightInd w:val="0"/>
      <w:snapToGrid w:val="0"/>
      <w:spacing w:line="360" w:lineRule="auto"/>
      <w:ind w:firstLine="200" w:firstLineChars="200"/>
    </w:pPr>
    <w:rPr>
      <w:rFonts w:ascii="宋体" w:hAnsi="宋体"/>
      <w:bCs/>
    </w:rPr>
  </w:style>
  <w:style w:type="character" w:customStyle="1" w:styleId="138">
    <w:name w:val="SH正文 Char"/>
    <w:basedOn w:val="30"/>
    <w:link w:val="137"/>
    <w:qFormat/>
    <w:uiPriority w:val="0"/>
    <w:rPr>
      <w:rFonts w:ascii="宋体" w:hAnsi="宋体"/>
      <w:bCs/>
      <w:kern w:val="2"/>
      <w:sz w:val="21"/>
      <w:szCs w:val="24"/>
    </w:rPr>
  </w:style>
  <w:style w:type="paragraph" w:customStyle="1" w:styleId="139">
    <w:name w:val="BS 正文"/>
    <w:basedOn w:val="1"/>
    <w:link w:val="140"/>
    <w:qFormat/>
    <w:uiPriority w:val="0"/>
    <w:pPr>
      <w:wordWrap w:val="0"/>
      <w:spacing w:line="360" w:lineRule="auto"/>
      <w:ind w:firstLine="200" w:firstLineChars="200"/>
    </w:pPr>
    <w:rPr>
      <w:sz w:val="24"/>
    </w:rPr>
  </w:style>
  <w:style w:type="character" w:customStyle="1" w:styleId="140">
    <w:name w:val="BS 正文 Char"/>
    <w:link w:val="139"/>
    <w:qFormat/>
    <w:uiPriority w:val="0"/>
    <w:rPr>
      <w:kern w:val="2"/>
      <w:sz w:val="24"/>
      <w:szCs w:val="24"/>
    </w:rPr>
  </w:style>
  <w:style w:type="paragraph" w:customStyle="1" w:styleId="141">
    <w:name w:val="加黑正文"/>
    <w:basedOn w:val="1"/>
    <w:qFormat/>
    <w:uiPriority w:val="0"/>
    <w:pPr>
      <w:wordWrap w:val="0"/>
      <w:topLinePunct/>
      <w:autoSpaceDE w:val="0"/>
      <w:adjustRightInd w:val="0"/>
      <w:spacing w:line="360" w:lineRule="auto"/>
      <w:ind w:firstLine="200" w:firstLineChars="200"/>
      <w:textAlignment w:val="baseline"/>
    </w:pPr>
    <w:rPr>
      <w:b/>
      <w:kern w:val="0"/>
      <w:sz w:val="24"/>
      <w:szCs w:val="20"/>
    </w:rPr>
  </w:style>
  <w:style w:type="character" w:customStyle="1" w:styleId="142">
    <w:name w:val="这是正文 Char"/>
    <w:link w:val="133"/>
    <w:qFormat/>
    <w:uiPriority w:val="0"/>
    <w:rPr>
      <w:b/>
      <w:sz w:val="24"/>
    </w:rPr>
  </w:style>
  <w:style w:type="character" w:customStyle="1" w:styleId="143">
    <w:name w:val="纯文本 Char1"/>
    <w:basedOn w:val="30"/>
    <w:link w:val="17"/>
    <w:qFormat/>
    <w:uiPriority w:val="0"/>
    <w:rPr>
      <w:rFonts w:hint="eastAsia" w:ascii="宋体" w:hAnsi="Courier New" w:eastAsia="宋体" w:cs="Courier New"/>
      <w:kern w:val="2"/>
      <w:sz w:val="21"/>
      <w:szCs w:val="24"/>
    </w:rPr>
  </w:style>
  <w:style w:type="paragraph" w:customStyle="1" w:styleId="144">
    <w:name w:val="标题4"/>
    <w:basedOn w:val="1"/>
    <w:link w:val="145"/>
    <w:qFormat/>
    <w:uiPriority w:val="0"/>
    <w:pPr>
      <w:widowControl/>
      <w:wordWrap w:val="0"/>
      <w:autoSpaceDN w:val="0"/>
      <w:spacing w:line="360" w:lineRule="auto"/>
    </w:pPr>
    <w:rPr>
      <w:b/>
      <w:sz w:val="24"/>
    </w:rPr>
  </w:style>
  <w:style w:type="character" w:customStyle="1" w:styleId="145">
    <w:name w:val="标题4 Char"/>
    <w:basedOn w:val="30"/>
    <w:link w:val="144"/>
    <w:qFormat/>
    <w:uiPriority w:val="0"/>
    <w:rPr>
      <w:b/>
      <w:kern w:val="2"/>
      <w:sz w:val="24"/>
      <w:szCs w:val="24"/>
    </w:rPr>
  </w:style>
  <w:style w:type="paragraph" w:customStyle="1" w:styleId="146">
    <w:name w:val="报告表格1"/>
    <w:basedOn w:val="116"/>
    <w:link w:val="148"/>
    <w:qFormat/>
    <w:uiPriority w:val="0"/>
    <w:pPr>
      <w:autoSpaceDE w:val="0"/>
      <w:autoSpaceDN w:val="0"/>
      <w:snapToGrid/>
      <w:spacing w:before="40" w:after="40"/>
    </w:pPr>
    <w:rPr>
      <w:b/>
      <w:color w:val="000000" w:themeColor="text1"/>
      <w:sz w:val="36"/>
      <w:szCs w:val="36"/>
      <w14:textFill>
        <w14:solidFill>
          <w14:schemeClr w14:val="tx1"/>
        </w14:solidFill>
      </w14:textFill>
    </w:rPr>
  </w:style>
  <w:style w:type="paragraph" w:customStyle="1" w:styleId="147">
    <w:name w:val="正文1"/>
    <w:basedOn w:val="122"/>
    <w:link w:val="150"/>
    <w:qFormat/>
    <w:uiPriority w:val="0"/>
    <w:rPr>
      <w:snapToGrid w:val="0"/>
      <w:kern w:val="24"/>
    </w:rPr>
  </w:style>
  <w:style w:type="character" w:customStyle="1" w:styleId="148">
    <w:name w:val="报告表格1 Char"/>
    <w:basedOn w:val="119"/>
    <w:link w:val="146"/>
    <w:qFormat/>
    <w:uiPriority w:val="0"/>
    <w:rPr>
      <w:b/>
      <w:color w:val="000000" w:themeColor="text1"/>
      <w:kern w:val="2"/>
      <w:sz w:val="36"/>
      <w:szCs w:val="36"/>
      <w14:textFill>
        <w14:solidFill>
          <w14:schemeClr w14:val="tx1"/>
        </w14:solidFill>
      </w14:textFill>
    </w:rPr>
  </w:style>
  <w:style w:type="paragraph" w:customStyle="1" w:styleId="149">
    <w:name w:val="图标标题1"/>
    <w:basedOn w:val="114"/>
    <w:link w:val="152"/>
    <w:qFormat/>
    <w:uiPriority w:val="0"/>
    <w:rPr>
      <w:rFonts w:eastAsia="Times New Roman"/>
      <w:color w:val="000000" w:themeColor="text1"/>
      <w14:textFill>
        <w14:solidFill>
          <w14:schemeClr w14:val="tx1"/>
        </w14:solidFill>
      </w14:textFill>
    </w:rPr>
  </w:style>
  <w:style w:type="character" w:customStyle="1" w:styleId="150">
    <w:name w:val="正文1 Char"/>
    <w:basedOn w:val="123"/>
    <w:link w:val="147"/>
    <w:qFormat/>
    <w:uiPriority w:val="0"/>
    <w:rPr>
      <w:snapToGrid w:val="0"/>
      <w:kern w:val="24"/>
      <w:sz w:val="24"/>
      <w:szCs w:val="24"/>
      <w:lang w:val="zh-CN"/>
    </w:rPr>
  </w:style>
  <w:style w:type="paragraph" w:customStyle="1" w:styleId="151">
    <w:name w:val="图标标题2"/>
    <w:basedOn w:val="114"/>
    <w:next w:val="114"/>
    <w:link w:val="154"/>
    <w:qFormat/>
    <w:uiPriority w:val="0"/>
    <w:pPr>
      <w:wordWrap w:val="0"/>
      <w:topLinePunct/>
      <w:spacing w:line="360" w:lineRule="auto"/>
    </w:pPr>
    <w:rPr>
      <w:snapToGrid w:val="0"/>
      <w:color w:val="FF0000"/>
    </w:rPr>
  </w:style>
  <w:style w:type="character" w:customStyle="1" w:styleId="152">
    <w:name w:val="图标标题1 Char"/>
    <w:basedOn w:val="117"/>
    <w:link w:val="149"/>
    <w:qFormat/>
    <w:uiPriority w:val="0"/>
    <w:rPr>
      <w:rFonts w:eastAsia="Times New Roman"/>
      <w:color w:val="000000" w:themeColor="text1"/>
      <w:kern w:val="2"/>
      <w:sz w:val="21"/>
      <w:szCs w:val="24"/>
      <w14:textFill>
        <w14:solidFill>
          <w14:schemeClr w14:val="tx1"/>
        </w14:solidFill>
      </w14:textFill>
    </w:rPr>
  </w:style>
  <w:style w:type="paragraph" w:customStyle="1" w:styleId="153">
    <w:name w:val="样式2"/>
    <w:basedOn w:val="122"/>
    <w:link w:val="156"/>
    <w:qFormat/>
    <w:uiPriority w:val="0"/>
  </w:style>
  <w:style w:type="character" w:customStyle="1" w:styleId="154">
    <w:name w:val="图标标题2 Char"/>
    <w:basedOn w:val="117"/>
    <w:link w:val="151"/>
    <w:qFormat/>
    <w:uiPriority w:val="0"/>
    <w:rPr>
      <w:snapToGrid w:val="0"/>
      <w:color w:val="FF0000"/>
      <w:kern w:val="2"/>
      <w:sz w:val="21"/>
      <w:szCs w:val="24"/>
    </w:rPr>
  </w:style>
  <w:style w:type="paragraph" w:customStyle="1" w:styleId="155">
    <w:name w:val="样式3"/>
    <w:basedOn w:val="122"/>
    <w:link w:val="157"/>
    <w:qFormat/>
    <w:uiPriority w:val="0"/>
    <w:rPr>
      <w:color w:val="000000" w:themeColor="text1"/>
      <w14:textFill>
        <w14:solidFill>
          <w14:schemeClr w14:val="tx1"/>
        </w14:solidFill>
      </w14:textFill>
    </w:rPr>
  </w:style>
  <w:style w:type="character" w:customStyle="1" w:styleId="156">
    <w:name w:val="样式2 Char"/>
    <w:basedOn w:val="123"/>
    <w:link w:val="153"/>
    <w:qFormat/>
    <w:uiPriority w:val="0"/>
    <w:rPr>
      <w:kern w:val="2"/>
      <w:sz w:val="24"/>
      <w:szCs w:val="24"/>
      <w:lang w:val="zh-CN"/>
    </w:rPr>
  </w:style>
  <w:style w:type="character" w:customStyle="1" w:styleId="157">
    <w:name w:val="样式3 Char"/>
    <w:basedOn w:val="123"/>
    <w:link w:val="155"/>
    <w:qFormat/>
    <w:uiPriority w:val="0"/>
    <w:rPr>
      <w:color w:val="000000" w:themeColor="text1"/>
      <w:kern w:val="2"/>
      <w:sz w:val="24"/>
      <w:szCs w:val="24"/>
      <w:lang w:val="zh-CN"/>
      <w14:textFill>
        <w14:solidFill>
          <w14:schemeClr w14:val="tx1"/>
        </w14:solidFill>
      </w14:textFill>
    </w:rPr>
  </w:style>
  <w:style w:type="character" w:customStyle="1" w:styleId="158">
    <w:name w:val="题注 Char1"/>
    <w:qFormat/>
    <w:uiPriority w:val="35"/>
    <w:rPr>
      <w:rFonts w:eastAsia="黑体"/>
      <w:sz w:val="21"/>
      <w:shd w:val="clear" w:color="auto" w:fill="FFFFFF" w:themeFill="background1"/>
    </w:rPr>
  </w:style>
  <w:style w:type="paragraph" w:customStyle="1" w:styleId="159">
    <w:name w:val="BS 图表标题"/>
    <w:link w:val="160"/>
    <w:qFormat/>
    <w:uiPriority w:val="0"/>
    <w:pPr>
      <w:widowControl w:val="0"/>
      <w:autoSpaceDE w:val="0"/>
      <w:autoSpaceDN w:val="0"/>
      <w:adjustRightInd w:val="0"/>
      <w:jc w:val="center"/>
      <w:textAlignment w:val="baseline"/>
    </w:pPr>
    <w:rPr>
      <w:rFonts w:ascii="Times New Roman" w:hAnsi="Times New Roman" w:eastAsia="宋体" w:cs="Times New Roman"/>
      <w:b/>
      <w:kern w:val="2"/>
      <w:sz w:val="18"/>
      <w:szCs w:val="18"/>
      <w:lang w:val="en-US" w:eastAsia="zh-CN" w:bidi="ar-SA"/>
    </w:rPr>
  </w:style>
  <w:style w:type="character" w:customStyle="1" w:styleId="160">
    <w:name w:val="BS 图表标题 Char"/>
    <w:link w:val="159"/>
    <w:qFormat/>
    <w:uiPriority w:val="0"/>
    <w:rPr>
      <w:b/>
      <w:kern w:val="2"/>
      <w:sz w:val="18"/>
      <w:szCs w:val="18"/>
    </w:rPr>
  </w:style>
  <w:style w:type="paragraph" w:customStyle="1" w:styleId="161">
    <w:name w:val="报告表格2"/>
    <w:basedOn w:val="146"/>
    <w:link w:val="163"/>
    <w:qFormat/>
    <w:uiPriority w:val="0"/>
  </w:style>
  <w:style w:type="paragraph" w:customStyle="1" w:styleId="162">
    <w:name w:val="图标标题3"/>
    <w:basedOn w:val="1"/>
    <w:link w:val="165"/>
    <w:qFormat/>
    <w:uiPriority w:val="0"/>
    <w:pPr>
      <w:jc w:val="center"/>
    </w:pPr>
    <w:rPr>
      <w:b/>
      <w:bCs/>
    </w:rPr>
  </w:style>
  <w:style w:type="character" w:customStyle="1" w:styleId="163">
    <w:name w:val="报告表格2 Char"/>
    <w:basedOn w:val="148"/>
    <w:link w:val="161"/>
    <w:qFormat/>
    <w:uiPriority w:val="0"/>
    <w:rPr>
      <w:color w:val="000000" w:themeColor="text1"/>
      <w:kern w:val="2"/>
      <w:sz w:val="21"/>
      <w:szCs w:val="21"/>
      <w14:textFill>
        <w14:solidFill>
          <w14:schemeClr w14:val="tx1"/>
        </w14:solidFill>
      </w14:textFill>
    </w:rPr>
  </w:style>
  <w:style w:type="paragraph" w:customStyle="1" w:styleId="164">
    <w:name w:val="标题  4"/>
    <w:basedOn w:val="147"/>
    <w:link w:val="166"/>
    <w:qFormat/>
    <w:uiPriority w:val="0"/>
    <w:pPr>
      <w:ind w:firstLine="482"/>
    </w:pPr>
    <w:rPr>
      <w:b/>
    </w:rPr>
  </w:style>
  <w:style w:type="character" w:customStyle="1" w:styleId="165">
    <w:name w:val="图标标题3 Char"/>
    <w:basedOn w:val="30"/>
    <w:link w:val="162"/>
    <w:qFormat/>
    <w:uiPriority w:val="0"/>
    <w:rPr>
      <w:b/>
      <w:bCs/>
      <w:kern w:val="2"/>
      <w:sz w:val="21"/>
      <w:szCs w:val="24"/>
    </w:rPr>
  </w:style>
  <w:style w:type="character" w:customStyle="1" w:styleId="166">
    <w:name w:val="标题  4 Char"/>
    <w:basedOn w:val="150"/>
    <w:link w:val="164"/>
    <w:qFormat/>
    <w:uiPriority w:val="0"/>
    <w:rPr>
      <w:rFonts w:ascii="宋体" w:hAnsi="宋体"/>
      <w:b/>
      <w:snapToGrid w:val="0"/>
      <w:color w:val="000000" w:themeColor="text1"/>
      <w:kern w:val="24"/>
      <w:sz w:val="24"/>
      <w:szCs w:val="24"/>
      <w:lang w:val="zh-CN"/>
      <w14:textFill>
        <w14:solidFill>
          <w14:schemeClr w14:val="tx1"/>
        </w14:solidFill>
      </w14:textFill>
    </w:rPr>
  </w:style>
  <w:style w:type="paragraph" w:customStyle="1" w:styleId="167">
    <w:name w:val="报告 表 格"/>
    <w:basedOn w:val="66"/>
    <w:link w:val="169"/>
    <w:qFormat/>
    <w:uiPriority w:val="0"/>
    <w:rPr>
      <w:color w:val="auto"/>
    </w:rPr>
  </w:style>
  <w:style w:type="paragraph" w:customStyle="1" w:styleId="168">
    <w:name w:val="图 表标题"/>
    <w:basedOn w:val="151"/>
    <w:link w:val="170"/>
    <w:qFormat/>
    <w:uiPriority w:val="0"/>
    <w:rPr>
      <w:color w:val="auto"/>
    </w:rPr>
  </w:style>
  <w:style w:type="character" w:customStyle="1" w:styleId="169">
    <w:name w:val="报告 表 格 Char"/>
    <w:basedOn w:val="120"/>
    <w:link w:val="167"/>
    <w:qFormat/>
    <w:uiPriority w:val="0"/>
    <w:rPr>
      <w:color w:val="FF0000"/>
      <w:sz w:val="21"/>
      <w:szCs w:val="24"/>
    </w:rPr>
  </w:style>
  <w:style w:type="character" w:customStyle="1" w:styleId="170">
    <w:name w:val="图 表标题 Char"/>
    <w:basedOn w:val="154"/>
    <w:link w:val="168"/>
    <w:qFormat/>
    <w:uiPriority w:val="0"/>
    <w:rPr>
      <w:snapToGrid w:val="0"/>
      <w:color w:val="FF0000"/>
      <w:kern w:val="2"/>
      <w:sz w:val="21"/>
      <w:szCs w:val="24"/>
    </w:rPr>
  </w:style>
  <w:style w:type="paragraph" w:customStyle="1" w:styleId="171">
    <w:name w:val="图标 标题"/>
    <w:basedOn w:val="151"/>
    <w:link w:val="172"/>
    <w:qFormat/>
    <w:uiPriority w:val="0"/>
    <w:rPr>
      <w:color w:val="000000" w:themeColor="text1"/>
      <w14:textFill>
        <w14:solidFill>
          <w14:schemeClr w14:val="tx1"/>
        </w14:solidFill>
      </w14:textFill>
    </w:rPr>
  </w:style>
  <w:style w:type="character" w:customStyle="1" w:styleId="172">
    <w:name w:val="图标 标题 Char"/>
    <w:basedOn w:val="154"/>
    <w:link w:val="171"/>
    <w:qFormat/>
    <w:uiPriority w:val="0"/>
    <w:rPr>
      <w:snapToGrid w:val="0"/>
      <w:color w:val="000000" w:themeColor="text1"/>
      <w:kern w:val="2"/>
      <w:sz w:val="21"/>
      <w:szCs w:val="24"/>
      <w14:textFill>
        <w14:solidFill>
          <w14:schemeClr w14:val="tx1"/>
        </w14:solidFill>
      </w14:textFill>
    </w:rPr>
  </w:style>
  <w:style w:type="character" w:customStyle="1" w:styleId="173">
    <w:name w:val="正文1 Char Char"/>
    <w:qFormat/>
    <w:locked/>
    <w:uiPriority w:val="0"/>
    <w:rPr>
      <w:rFonts w:ascii="Times New Roman" w:hAnsi="Times New Roman" w:eastAsia="宋体" w:cs="Arial"/>
      <w:bCs/>
      <w:kern w:val="2"/>
      <w:sz w:val="24"/>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wmf"/><Relationship Id="rId21" Type="http://schemas.openxmlformats.org/officeDocument/2006/relationships/oleObject" Target="embeddings/oleObject3.bin"/><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2.bin"/><Relationship Id="rId17" Type="http://schemas.openxmlformats.org/officeDocument/2006/relationships/image" Target="media/image6.emf"/><Relationship Id="rId16" Type="http://schemas.openxmlformats.org/officeDocument/2006/relationships/package" Target="embeddings/Microsoft_Visio___5.vsdx"/><Relationship Id="rId15" Type="http://schemas.openxmlformats.org/officeDocument/2006/relationships/image" Target="media/image5.emf"/><Relationship Id="rId14" Type="http://schemas.openxmlformats.org/officeDocument/2006/relationships/package" Target="embeddings/Microsoft_Visio___4.vsdx"/><Relationship Id="rId13" Type="http://schemas.openxmlformats.org/officeDocument/2006/relationships/image" Target="media/image4.emf"/><Relationship Id="rId12" Type="http://schemas.openxmlformats.org/officeDocument/2006/relationships/oleObject" Target="embeddings/oleObject1.bin"/><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F0592-80B2-4F8C-911A-DA8B08BD2040}">
  <ds:schemaRefs/>
</ds:datastoreItem>
</file>

<file path=docProps/app.xml><?xml version="1.0" encoding="utf-8"?>
<Properties xmlns="http://schemas.openxmlformats.org/officeDocument/2006/extended-properties" xmlns:vt="http://schemas.openxmlformats.org/officeDocument/2006/docPropsVTypes">
  <Template>Normal</Template>
  <Pages>102</Pages>
  <Words>61605</Words>
  <Characters>68463</Characters>
  <Lines>526</Lines>
  <Paragraphs>148</Paragraphs>
  <TotalTime>7</TotalTime>
  <ScaleCrop>false</ScaleCrop>
  <LinksUpToDate>false</LinksUpToDate>
  <CharactersWithSpaces>68806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2024-02-18T01:51:00Z</dcterms:created>
  <dc:creator>gc</dc:creator>
  <cp:lastModifiedBy>Administrator</cp:lastModifiedBy>
  <dcterms:modified xsi:type="dcterms:W3CDTF">2024-06-05T00:41:29Z</dcterms:modified>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8A7A3E7478B745958DE62F4ABC09731D</vt:lpwstr>
  </property>
</Properties>
</file>