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bCs/>
          <w:sz w:val="72"/>
          <w:szCs w:val="72"/>
        </w:rPr>
      </w:pPr>
      <w:bookmarkStart w:id="53" w:name="_GoBack"/>
      <w:bookmarkEnd w:id="53"/>
    </w:p>
    <w:p>
      <w:pPr>
        <w:jc w:val="center"/>
        <w:rPr>
          <w:rFonts w:ascii="Times New Roman" w:hAnsi="Times New Roman" w:cs="Times New Roman" w:eastAsiaTheme="majorEastAsia"/>
          <w:b/>
          <w:bCs/>
          <w:sz w:val="72"/>
          <w:szCs w:val="72"/>
        </w:rPr>
      </w:pPr>
    </w:p>
    <w:p>
      <w:pPr>
        <w:jc w:val="center"/>
        <w:rPr>
          <w:rFonts w:ascii="Times New Roman" w:hAnsi="Times New Roman" w:cs="Times New Roman" w:eastAsiaTheme="majorEastAsia"/>
          <w:b/>
          <w:bCs/>
          <w:sz w:val="72"/>
          <w:szCs w:val="72"/>
        </w:rPr>
      </w:pPr>
      <w:r>
        <w:rPr>
          <w:rFonts w:ascii="Times New Roman" w:hAnsi="Times New Roman" w:cs="Times New Roman" w:eastAsiaTheme="majorEastAsia"/>
          <w:b/>
          <w:bCs/>
          <w:sz w:val="72"/>
          <w:szCs w:val="72"/>
        </w:rPr>
        <w:t>建设项目环境影响报告表</w:t>
      </w:r>
    </w:p>
    <w:p>
      <w:pPr>
        <w:jc w:val="center"/>
        <w:rPr>
          <w:rFonts w:ascii="Times New Roman" w:hAnsi="Times New Roman" w:cs="Times New Roman" w:eastAsiaTheme="majorEastAsia"/>
          <w:sz w:val="48"/>
          <w:szCs w:val="48"/>
        </w:rPr>
      </w:pPr>
    </w:p>
    <w:p>
      <w:pPr>
        <w:jc w:val="center"/>
        <w:rPr>
          <w:rFonts w:ascii="Times New Roman" w:hAnsi="Times New Roman" w:cs="Times New Roman" w:eastAsiaTheme="majorEastAsia"/>
          <w:sz w:val="48"/>
          <w:szCs w:val="48"/>
        </w:rPr>
      </w:pPr>
      <w:r>
        <w:rPr>
          <w:rFonts w:ascii="Times New Roman" w:hAnsi="Times New Roman" w:cs="Times New Roman" w:eastAsiaTheme="majorEastAsia"/>
          <w:sz w:val="48"/>
          <w:szCs w:val="48"/>
        </w:rPr>
        <w:t>（污染影响类）</w:t>
      </w:r>
    </w:p>
    <w:p>
      <w:pPr>
        <w:jc w:val="center"/>
        <w:rPr>
          <w:rFonts w:ascii="Times New Roman" w:hAnsi="Times New Roman" w:cs="Times New Roman" w:eastAsiaTheme="majorEastAsia"/>
          <w:sz w:val="48"/>
          <w:szCs w:val="48"/>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jc w:val="left"/>
        <w:rPr>
          <w:rFonts w:ascii="Times New Roman" w:hAnsi="Times New Roman" w:eastAsia="仿宋" w:cs="Times New Roman"/>
          <w:sz w:val="36"/>
          <w:szCs w:val="36"/>
        </w:rPr>
      </w:pPr>
    </w:p>
    <w:p>
      <w:pPr>
        <w:spacing w:line="360" w:lineRule="auto"/>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lang w:val="en-US" w:eastAsia="zh-CN"/>
        </w:rPr>
        <w:t>10万吨砂石料加工点项目</w:t>
      </w:r>
    </w:p>
    <w:p>
      <w:pPr>
        <w:spacing w:line="360" w:lineRule="auto"/>
        <w:rPr>
          <w:rFonts w:ascii="仿宋" w:hAnsi="仿宋" w:eastAsia="仿宋" w:cs="仿宋"/>
          <w:sz w:val="32"/>
          <w:szCs w:val="32"/>
          <w:u w:val="single"/>
        </w:rPr>
      </w:pPr>
      <w:r>
        <w:rPr>
          <w:rFonts w:hint="eastAsia" w:ascii="仿宋" w:hAnsi="仿宋" w:eastAsia="仿宋" w:cs="仿宋"/>
          <w:sz w:val="32"/>
          <w:szCs w:val="32"/>
        </w:rPr>
        <w:t>建设单位（盖章）：</w:t>
      </w:r>
      <w:r>
        <w:rPr>
          <w:rFonts w:hint="eastAsia" w:ascii="仿宋" w:hAnsi="仿宋" w:eastAsia="仿宋" w:cs="仿宋"/>
          <w:sz w:val="32"/>
          <w:szCs w:val="32"/>
          <w:u w:val="single"/>
          <w:lang w:val="en-US" w:eastAsia="zh-CN"/>
        </w:rPr>
        <w:t>禄劝老五建筑劳务分包有限公司</w:t>
      </w:r>
    </w:p>
    <w:p>
      <w:pPr>
        <w:jc w:val="left"/>
        <w:rPr>
          <w:rFonts w:hint="default" w:ascii="Times New Roman" w:hAnsi="Times New Roman" w:eastAsia="仿宋" w:cs="Times New Roman"/>
          <w:sz w:val="32"/>
          <w:szCs w:val="32"/>
          <w:u w:val="single"/>
          <w:lang w:val="en-US" w:eastAsia="zh-CN"/>
        </w:rPr>
      </w:pPr>
      <w:r>
        <w:rPr>
          <w:rFonts w:hint="eastAsia" w:ascii="仿宋" w:hAnsi="仿宋" w:eastAsia="仿宋" w:cs="仿宋"/>
          <w:sz w:val="32"/>
          <w:szCs w:val="32"/>
        </w:rPr>
        <w:t>编制日期：</w:t>
      </w:r>
      <w:r>
        <w:rPr>
          <w:rFonts w:hint="eastAsia" w:ascii="仿宋" w:hAnsi="仿宋" w:eastAsia="仿宋" w:cs="仿宋"/>
          <w:sz w:val="32"/>
          <w:szCs w:val="32"/>
          <w:lang w:val="en-US" w:eastAsia="zh-CN"/>
        </w:rPr>
        <w:t xml:space="preserve">    </w:t>
      </w:r>
      <w:r>
        <w:rPr>
          <w:rFonts w:ascii="Times New Roman" w:hAnsi="Times New Roman" w:eastAsia="仿宋" w:cs="Times New Roman"/>
          <w:sz w:val="32"/>
          <w:szCs w:val="32"/>
          <w:u w:val="single"/>
        </w:rPr>
        <w:t>202</w:t>
      </w:r>
      <w:r>
        <w:rPr>
          <w:rFonts w:hint="eastAsia" w:ascii="Times New Roman" w:hAnsi="Times New Roman" w:eastAsia="仿宋" w:cs="Times New Roman"/>
          <w:sz w:val="32"/>
          <w:szCs w:val="32"/>
          <w:u w:val="single"/>
          <w:lang w:val="en-US" w:eastAsia="zh-CN"/>
        </w:rPr>
        <w:t>5</w:t>
      </w:r>
      <w:r>
        <w:rPr>
          <w:rFonts w:ascii="Times New Roman" w:hAnsi="Times New Roman" w:eastAsia="仿宋" w:cs="Times New Roman"/>
          <w:sz w:val="32"/>
          <w:szCs w:val="32"/>
          <w:u w:val="single"/>
        </w:rPr>
        <w:t>年</w:t>
      </w:r>
      <w:r>
        <w:rPr>
          <w:rFonts w:hint="eastAsia" w:ascii="Times New Roman" w:hAnsi="Times New Roman" w:eastAsia="仿宋" w:cs="Times New Roman"/>
          <w:sz w:val="32"/>
          <w:szCs w:val="32"/>
          <w:u w:val="single"/>
          <w:lang w:val="en-US" w:eastAsia="zh-CN"/>
        </w:rPr>
        <w:t>1</w:t>
      </w:r>
      <w:r>
        <w:rPr>
          <w:rFonts w:ascii="Times New Roman" w:hAnsi="Times New Roman" w:eastAsia="仿宋" w:cs="Times New Roman"/>
          <w:sz w:val="32"/>
          <w:szCs w:val="32"/>
          <w:u w:val="single"/>
        </w:rPr>
        <w:t>月</w:t>
      </w:r>
      <w:r>
        <w:rPr>
          <w:rFonts w:hint="eastAsia" w:ascii="Times New Roman" w:hAnsi="Times New Roman" w:eastAsia="仿宋" w:cs="Times New Roman"/>
          <w:sz w:val="32"/>
          <w:szCs w:val="32"/>
          <w:u w:val="single"/>
          <w:lang w:val="en-US" w:eastAsia="zh-CN"/>
        </w:rPr>
        <w:t xml:space="preserve">                    </w:t>
      </w:r>
    </w:p>
    <w:p>
      <w:pPr>
        <w:jc w:val="center"/>
        <w:rPr>
          <w:rFonts w:ascii="Times New Roman" w:hAnsi="Times New Roman" w:eastAsia="楷体" w:cs="Times New Roman"/>
          <w:sz w:val="36"/>
          <w:szCs w:val="36"/>
        </w:rPr>
      </w:pPr>
    </w:p>
    <w:p>
      <w:pPr>
        <w:jc w:val="center"/>
        <w:rPr>
          <w:rFonts w:ascii="Times New Roman" w:hAnsi="Times New Roman" w:eastAsia="楷体" w:cs="Times New Roman"/>
          <w:sz w:val="36"/>
          <w:szCs w:val="36"/>
        </w:rPr>
      </w:pPr>
    </w:p>
    <w:p>
      <w:pPr>
        <w:jc w:val="center"/>
        <w:rPr>
          <w:rFonts w:ascii="Times New Roman" w:hAnsi="Times New Roman" w:eastAsia="楷体" w:cs="Times New Roman"/>
          <w:sz w:val="36"/>
          <w:szCs w:val="36"/>
        </w:rPr>
      </w:pPr>
      <w:r>
        <w:rPr>
          <w:rFonts w:ascii="Times New Roman" w:hAnsi="Times New Roman" w:eastAsia="楷体" w:cs="Times New Roman"/>
          <w:sz w:val="36"/>
          <w:szCs w:val="36"/>
        </w:rPr>
        <w:t>中华人民共和国生态环境部制</w:t>
      </w:r>
    </w:p>
    <w:p>
      <w:pPr>
        <w:rPr>
          <w:rFonts w:ascii="Times New Roman" w:hAnsi="Times New Roman" w:eastAsia="楷体" w:cs="Times New Roman"/>
          <w:sz w:val="36"/>
          <w:szCs w:val="36"/>
        </w:rPr>
        <w:sectPr>
          <w:footerReference r:id="rId3" w:type="default"/>
          <w:pgSz w:w="11906" w:h="16838"/>
          <w:pgMar w:top="1440" w:right="1800" w:bottom="1440" w:left="1800" w:header="851" w:footer="992" w:gutter="0"/>
          <w:pgNumType w:fmt="decimal"/>
          <w:cols w:space="425" w:num="1"/>
          <w:docGrid w:type="lines" w:linePitch="312" w:charSpace="0"/>
        </w:sectPr>
      </w:pPr>
    </w:p>
    <w:p>
      <w:pPr>
        <w:rPr>
          <w:color w:val="auto"/>
        </w:rPr>
      </w:pPr>
    </w:p>
    <w:sdt>
      <w:sdtPr>
        <w:rPr>
          <w:rFonts w:ascii="宋体" w:hAnsi="宋体" w:eastAsia="宋体"/>
          <w:color w:val="auto"/>
        </w:rPr>
        <w:id w:val="147481656"/>
        <w:docPartObj>
          <w:docPartGallery w:val="Table of Contents"/>
          <w:docPartUnique/>
        </w:docPartObj>
      </w:sdtPr>
      <w:sdtEndPr>
        <w:rPr>
          <w:rFonts w:hint="eastAsia" w:ascii="Times New Roman" w:hAnsi="Times New Roman" w:eastAsia="宋体" w:cs="Times New Roman"/>
          <w:color w:val="auto"/>
          <w:sz w:val="24"/>
          <w:szCs w:val="24"/>
          <w:highlight w:val="none"/>
          <w:lang w:val="en-US" w:eastAsia="zh-CN"/>
        </w:rPr>
      </w:sdtEndPr>
      <w:sdtContent>
        <w:p>
          <w:pPr>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32"/>
              <w:szCs w:val="32"/>
            </w:rPr>
            <w:t>目录</w:t>
          </w:r>
        </w:p>
        <w:p>
          <w:pPr>
            <w:pStyle w:val="52"/>
            <w:tabs>
              <w:tab w:val="right" w:leader="dot" w:pos="8306"/>
            </w:tabs>
            <w:spacing w:line="360" w:lineRule="auto"/>
            <w:rPr>
              <w:rFonts w:eastAsiaTheme="majorEastAsia"/>
              <w:color w:val="auto"/>
              <w:sz w:val="24"/>
              <w:szCs w:val="24"/>
            </w:rPr>
          </w:pPr>
          <w:r>
            <w:rPr>
              <w:rFonts w:eastAsiaTheme="majorEastAsia"/>
              <w:color w:val="auto"/>
              <w:sz w:val="24"/>
              <w:szCs w:val="24"/>
            </w:rPr>
            <w:fldChar w:fldCharType="begin"/>
          </w:r>
          <w:r>
            <w:rPr>
              <w:rFonts w:eastAsiaTheme="majorEastAsia"/>
              <w:color w:val="auto"/>
              <w:sz w:val="24"/>
              <w:szCs w:val="24"/>
            </w:rPr>
            <w:instrText xml:space="preserve">TOC \o "1-1" \h \u </w:instrText>
          </w:r>
          <w:r>
            <w:rPr>
              <w:rFonts w:eastAsiaTheme="majorEastAsia"/>
              <w:color w:val="auto"/>
              <w:sz w:val="24"/>
              <w:szCs w:val="24"/>
            </w:rPr>
            <w:fldChar w:fldCharType="separate"/>
          </w:r>
          <w:r>
            <w:rPr>
              <w:color w:val="auto"/>
              <w:sz w:val="24"/>
              <w:szCs w:val="24"/>
            </w:rPr>
            <w:fldChar w:fldCharType="begin"/>
          </w:r>
          <w:r>
            <w:rPr>
              <w:color w:val="auto"/>
              <w:sz w:val="24"/>
              <w:szCs w:val="24"/>
            </w:rPr>
            <w:instrText xml:space="preserve"> HYPERLINK \l "_Toc75" </w:instrText>
          </w:r>
          <w:r>
            <w:rPr>
              <w:color w:val="auto"/>
              <w:sz w:val="24"/>
              <w:szCs w:val="24"/>
            </w:rPr>
            <w:fldChar w:fldCharType="separate"/>
          </w:r>
          <w:r>
            <w:rPr>
              <w:rFonts w:eastAsiaTheme="majorEastAsia"/>
              <w:color w:val="auto"/>
              <w:sz w:val="24"/>
              <w:szCs w:val="24"/>
            </w:rPr>
            <w:t>一、建设项目基本情况</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_Toc75 \h </w:instrText>
          </w:r>
          <w:r>
            <w:rPr>
              <w:rFonts w:eastAsiaTheme="majorEastAsia"/>
              <w:color w:val="auto"/>
              <w:sz w:val="24"/>
              <w:szCs w:val="24"/>
            </w:rPr>
            <w:fldChar w:fldCharType="separate"/>
          </w:r>
          <w:r>
            <w:rPr>
              <w:rFonts w:eastAsiaTheme="majorEastAsia"/>
              <w:color w:val="auto"/>
              <w:sz w:val="24"/>
              <w:szCs w:val="24"/>
            </w:rPr>
            <w:t>1</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hint="eastAsia" w:eastAsiaTheme="majorEastAsia"/>
              <w:color w:val="auto"/>
              <w:sz w:val="24"/>
              <w:szCs w:val="24"/>
              <w:lang w:val="en-US" w:eastAsia="zh-CN"/>
            </w:rPr>
          </w:pPr>
          <w:r>
            <w:rPr>
              <w:color w:val="auto"/>
              <w:sz w:val="24"/>
              <w:szCs w:val="24"/>
            </w:rPr>
            <w:fldChar w:fldCharType="begin"/>
          </w:r>
          <w:r>
            <w:rPr>
              <w:color w:val="auto"/>
              <w:sz w:val="24"/>
              <w:szCs w:val="24"/>
            </w:rPr>
            <w:instrText xml:space="preserve"> HYPERLINK \l "_Toc27563" </w:instrText>
          </w:r>
          <w:r>
            <w:rPr>
              <w:color w:val="auto"/>
              <w:sz w:val="24"/>
              <w:szCs w:val="24"/>
            </w:rPr>
            <w:fldChar w:fldCharType="separate"/>
          </w:r>
          <w:r>
            <w:rPr>
              <w:rFonts w:eastAsiaTheme="majorEastAsia"/>
              <w:color w:val="auto"/>
              <w:sz w:val="24"/>
              <w:szCs w:val="24"/>
            </w:rPr>
            <w:t>二、建设项目工程分析</w:t>
          </w:r>
          <w:r>
            <w:rPr>
              <w:rFonts w:eastAsiaTheme="majorEastAsia"/>
              <w:color w:val="auto"/>
              <w:sz w:val="24"/>
              <w:szCs w:val="24"/>
            </w:rPr>
            <w:tab/>
          </w:r>
          <w:r>
            <w:rPr>
              <w:rFonts w:hint="eastAsia" w:eastAsiaTheme="majorEastAsia"/>
              <w:color w:val="auto"/>
              <w:sz w:val="24"/>
              <w:szCs w:val="24"/>
              <w:lang w:val="en-US" w:eastAsia="zh-CN"/>
            </w:rPr>
            <w:t>2</w:t>
          </w:r>
          <w:r>
            <w:rPr>
              <w:rFonts w:eastAsiaTheme="majorEastAsia"/>
              <w:color w:val="auto"/>
              <w:sz w:val="24"/>
              <w:szCs w:val="24"/>
            </w:rPr>
            <w:fldChar w:fldCharType="end"/>
          </w:r>
          <w:r>
            <w:rPr>
              <w:rFonts w:hint="eastAsia" w:eastAsiaTheme="majorEastAsia"/>
              <w:color w:val="auto"/>
              <w:sz w:val="24"/>
              <w:szCs w:val="24"/>
              <w:lang w:val="en-US" w:eastAsia="zh-CN"/>
            </w:rPr>
            <w:t>0</w:t>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"_Toc28892" </w:instrText>
          </w:r>
          <w:r>
            <w:rPr>
              <w:color w:val="auto"/>
              <w:sz w:val="24"/>
              <w:szCs w:val="24"/>
            </w:rPr>
            <w:fldChar w:fldCharType="separate"/>
          </w:r>
          <w:r>
            <w:rPr>
              <w:rFonts w:eastAsiaTheme="majorEastAsia"/>
              <w:color w:val="auto"/>
              <w:sz w:val="24"/>
              <w:szCs w:val="24"/>
            </w:rPr>
            <w:t>三、区域环境质量现状、环境保护目标及评价标准</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_Toc28892 \h </w:instrText>
          </w:r>
          <w:r>
            <w:rPr>
              <w:rFonts w:eastAsiaTheme="majorEastAsia"/>
              <w:color w:val="auto"/>
              <w:sz w:val="24"/>
              <w:szCs w:val="24"/>
            </w:rPr>
            <w:fldChar w:fldCharType="separate"/>
          </w:r>
          <w:r>
            <w:rPr>
              <w:rFonts w:eastAsiaTheme="majorEastAsia"/>
              <w:color w:val="auto"/>
              <w:sz w:val="24"/>
              <w:szCs w:val="24"/>
            </w:rPr>
            <w:t>36</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"_Toc13470" </w:instrText>
          </w:r>
          <w:r>
            <w:rPr>
              <w:color w:val="auto"/>
              <w:sz w:val="24"/>
              <w:szCs w:val="24"/>
            </w:rPr>
            <w:fldChar w:fldCharType="separate"/>
          </w:r>
          <w:r>
            <w:rPr>
              <w:rFonts w:eastAsiaTheme="majorEastAsia"/>
              <w:color w:val="auto"/>
              <w:sz w:val="24"/>
              <w:szCs w:val="24"/>
            </w:rPr>
            <w:t>四、主要环境影响和保护措施</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_Toc13470 \h </w:instrText>
          </w:r>
          <w:r>
            <w:rPr>
              <w:rFonts w:eastAsiaTheme="majorEastAsia"/>
              <w:color w:val="auto"/>
              <w:sz w:val="24"/>
              <w:szCs w:val="24"/>
            </w:rPr>
            <w:fldChar w:fldCharType="separate"/>
          </w:r>
          <w:r>
            <w:rPr>
              <w:rFonts w:eastAsiaTheme="majorEastAsia"/>
              <w:color w:val="auto"/>
              <w:sz w:val="24"/>
              <w:szCs w:val="24"/>
            </w:rPr>
            <w:t>41</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hint="eastAsia" w:eastAsiaTheme="majorEastAsia"/>
              <w:color w:val="auto"/>
              <w:sz w:val="24"/>
              <w:szCs w:val="24"/>
              <w:lang w:val="en-US" w:eastAsia="zh-CN"/>
            </w:rPr>
          </w:pPr>
          <w:r>
            <w:rPr>
              <w:color w:val="auto"/>
              <w:sz w:val="24"/>
              <w:szCs w:val="24"/>
            </w:rPr>
            <w:fldChar w:fldCharType="begin"/>
          </w:r>
          <w:r>
            <w:rPr>
              <w:color w:val="auto"/>
              <w:sz w:val="24"/>
              <w:szCs w:val="24"/>
            </w:rPr>
            <w:instrText xml:space="preserve"> HYPERLINK \l "_Toc31147" </w:instrText>
          </w:r>
          <w:r>
            <w:rPr>
              <w:color w:val="auto"/>
              <w:sz w:val="24"/>
              <w:szCs w:val="24"/>
            </w:rPr>
            <w:fldChar w:fldCharType="separate"/>
          </w:r>
          <w:r>
            <w:rPr>
              <w:rFonts w:eastAsiaTheme="majorEastAsia"/>
              <w:color w:val="auto"/>
              <w:sz w:val="24"/>
              <w:szCs w:val="24"/>
            </w:rPr>
            <w:t>五、环境保护措施监督检查清单</w:t>
          </w:r>
          <w:r>
            <w:rPr>
              <w:rFonts w:eastAsiaTheme="majorEastAsia"/>
              <w:color w:val="auto"/>
              <w:sz w:val="24"/>
              <w:szCs w:val="24"/>
            </w:rPr>
            <w:tab/>
          </w:r>
          <w:r>
            <w:rPr>
              <w:rFonts w:hint="eastAsia" w:eastAsiaTheme="majorEastAsia"/>
              <w:color w:val="auto"/>
              <w:sz w:val="24"/>
              <w:szCs w:val="24"/>
              <w:lang w:val="en-US" w:eastAsia="zh-CN"/>
            </w:rPr>
            <w:t>6</w:t>
          </w:r>
          <w:r>
            <w:rPr>
              <w:rFonts w:eastAsiaTheme="majorEastAsia"/>
              <w:color w:val="auto"/>
              <w:sz w:val="24"/>
              <w:szCs w:val="24"/>
            </w:rPr>
            <w:fldChar w:fldCharType="end"/>
          </w:r>
          <w:r>
            <w:rPr>
              <w:rFonts w:hint="eastAsia" w:eastAsiaTheme="majorEastAsia"/>
              <w:color w:val="auto"/>
              <w:sz w:val="24"/>
              <w:szCs w:val="24"/>
              <w:lang w:val="en-US" w:eastAsia="zh-CN"/>
            </w:rPr>
            <w:t>2</w:t>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"_Toc27512" </w:instrText>
          </w:r>
          <w:r>
            <w:rPr>
              <w:color w:val="auto"/>
              <w:sz w:val="24"/>
              <w:szCs w:val="24"/>
            </w:rPr>
            <w:fldChar w:fldCharType="separate"/>
          </w:r>
          <w:r>
            <w:rPr>
              <w:rFonts w:eastAsiaTheme="majorEastAsia"/>
              <w:color w:val="auto"/>
              <w:sz w:val="24"/>
              <w:szCs w:val="24"/>
            </w:rPr>
            <w:t>六、结论</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_Toc27512 \h </w:instrText>
          </w:r>
          <w:r>
            <w:rPr>
              <w:rFonts w:eastAsiaTheme="majorEastAsia"/>
              <w:color w:val="auto"/>
              <w:sz w:val="24"/>
              <w:szCs w:val="24"/>
            </w:rPr>
            <w:fldChar w:fldCharType="separate"/>
          </w:r>
          <w:r>
            <w:rPr>
              <w:rFonts w:eastAsiaTheme="majorEastAsia"/>
              <w:color w:val="auto"/>
              <w:sz w:val="24"/>
              <w:szCs w:val="24"/>
            </w:rPr>
            <w:t>72</w:t>
          </w:r>
          <w:r>
            <w:rPr>
              <w:rFonts w:eastAsiaTheme="majorEastAsia"/>
              <w:color w:val="auto"/>
              <w:sz w:val="24"/>
              <w:szCs w:val="24"/>
            </w:rPr>
            <w:fldChar w:fldCharType="end"/>
          </w:r>
          <w:r>
            <w:rPr>
              <w:rFonts w:eastAsiaTheme="majorEastAsia"/>
              <w:color w:val="auto"/>
              <w:sz w:val="24"/>
              <w:szCs w:val="24"/>
            </w:rPr>
            <w:fldChar w:fldCharType="end"/>
          </w:r>
        </w:p>
        <w:p>
          <w:pPr>
            <w:pStyle w:val="52"/>
            <w:tabs>
              <w:tab w:val="right" w:leader="dot" w:pos="8306"/>
            </w:tabs>
            <w:spacing w:line="360" w:lineRule="auto"/>
            <w:rPr>
              <w:rFonts w:eastAsiaTheme="majorEastAsia"/>
              <w:color w:val="auto"/>
              <w:sz w:val="24"/>
              <w:szCs w:val="24"/>
            </w:rPr>
          </w:pPr>
          <w:r>
            <w:rPr>
              <w:color w:val="auto"/>
              <w:sz w:val="24"/>
              <w:szCs w:val="24"/>
            </w:rPr>
            <w:fldChar w:fldCharType="begin"/>
          </w:r>
          <w:r>
            <w:rPr>
              <w:color w:val="auto"/>
              <w:sz w:val="24"/>
              <w:szCs w:val="24"/>
            </w:rPr>
            <w:instrText xml:space="preserve"> HYPERLINK \l "_Toc21278" </w:instrText>
          </w:r>
          <w:r>
            <w:rPr>
              <w:color w:val="auto"/>
              <w:sz w:val="24"/>
              <w:szCs w:val="24"/>
            </w:rPr>
            <w:fldChar w:fldCharType="separate"/>
          </w:r>
          <w:r>
            <w:rPr>
              <w:rFonts w:eastAsiaTheme="majorEastAsia"/>
              <w:snapToGrid w:val="0"/>
              <w:color w:val="auto"/>
              <w:sz w:val="24"/>
              <w:szCs w:val="24"/>
            </w:rPr>
            <w:t>建设项目污染物排放量汇总表</w:t>
          </w:r>
          <w:r>
            <w:rPr>
              <w:rFonts w:eastAsiaTheme="majorEastAsia"/>
              <w:color w:val="auto"/>
              <w:sz w:val="24"/>
              <w:szCs w:val="24"/>
            </w:rPr>
            <w:tab/>
          </w:r>
          <w:r>
            <w:rPr>
              <w:rFonts w:eastAsiaTheme="majorEastAsia"/>
              <w:color w:val="auto"/>
              <w:sz w:val="24"/>
              <w:szCs w:val="24"/>
            </w:rPr>
            <w:fldChar w:fldCharType="begin"/>
          </w:r>
          <w:r>
            <w:rPr>
              <w:rFonts w:eastAsiaTheme="majorEastAsia"/>
              <w:color w:val="auto"/>
              <w:sz w:val="24"/>
              <w:szCs w:val="24"/>
            </w:rPr>
            <w:instrText xml:space="preserve"> PAGEREF _Toc21278 \h </w:instrText>
          </w:r>
          <w:r>
            <w:rPr>
              <w:rFonts w:eastAsiaTheme="majorEastAsia"/>
              <w:color w:val="auto"/>
              <w:sz w:val="24"/>
              <w:szCs w:val="24"/>
            </w:rPr>
            <w:fldChar w:fldCharType="separate"/>
          </w:r>
          <w:r>
            <w:rPr>
              <w:rFonts w:eastAsiaTheme="majorEastAsia"/>
              <w:color w:val="auto"/>
              <w:sz w:val="24"/>
              <w:szCs w:val="24"/>
            </w:rPr>
            <w:t>73</w:t>
          </w:r>
          <w:r>
            <w:rPr>
              <w:rFonts w:eastAsiaTheme="majorEastAsia"/>
              <w:color w:val="auto"/>
              <w:sz w:val="24"/>
              <w:szCs w:val="24"/>
            </w:rPr>
            <w:fldChar w:fldCharType="end"/>
          </w:r>
          <w:r>
            <w:rPr>
              <w:rFonts w:eastAsiaTheme="majorEastAsia"/>
              <w:color w:val="auto"/>
              <w:sz w:val="24"/>
              <w:szCs w:val="24"/>
            </w:rPr>
            <w:fldChar w:fldCharType="end"/>
          </w:r>
        </w:p>
        <w:p>
          <w:pPr>
            <w:spacing w:line="360" w:lineRule="auto"/>
            <w:rPr>
              <w:rFonts w:ascii="Times New Roman" w:hAnsi="Times New Roman" w:cs="Times New Roman" w:eastAsiaTheme="majorEastAsia"/>
              <w:color w:val="auto"/>
              <w:sz w:val="24"/>
              <w:szCs w:val="24"/>
            </w:rPr>
          </w:pPr>
          <w:r>
            <w:rPr>
              <w:rFonts w:ascii="Times New Roman" w:hAnsi="Times New Roman" w:cs="Times New Roman" w:eastAsiaTheme="majorEastAsia"/>
              <w:color w:val="auto"/>
              <w:sz w:val="24"/>
              <w:szCs w:val="24"/>
            </w:rPr>
            <w:fldChar w:fldCharType="end"/>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附图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附图1项目区地理位置图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附图2项目区水系图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附图3项目</w:t>
          </w:r>
          <w:r>
            <w:rPr>
              <w:rFonts w:hint="eastAsia" w:ascii="Times New Roman" w:hAnsi="Times New Roman" w:eastAsia="宋体" w:cs="Times New Roman"/>
              <w:color w:val="auto"/>
              <w:sz w:val="24"/>
              <w:szCs w:val="24"/>
              <w:highlight w:val="none"/>
              <w:lang w:val="en-US" w:eastAsia="zh-CN"/>
            </w:rPr>
            <w:t>外环境关系</w:t>
          </w:r>
          <w:r>
            <w:rPr>
              <w:rFonts w:hint="default" w:ascii="Times New Roman" w:hAnsi="Times New Roman" w:eastAsia="宋体" w:cs="Times New Roman"/>
              <w:color w:val="auto"/>
              <w:sz w:val="24"/>
              <w:szCs w:val="24"/>
              <w:highlight w:val="none"/>
            </w:rPr>
            <w:t>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附图4</w:t>
          </w:r>
          <w:r>
            <w:rPr>
              <w:rFonts w:hint="eastAsia" w:ascii="Times New Roman" w:hAnsi="Times New Roman" w:eastAsia="宋体" w:cs="Times New Roman"/>
              <w:color w:val="auto"/>
              <w:sz w:val="24"/>
              <w:szCs w:val="24"/>
              <w:highlight w:val="none"/>
              <w:lang w:eastAsia="zh-CN"/>
            </w:rPr>
            <w:t>项目区平面布置图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附图5自行监测布点图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附图6项目现状监测布点图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附图7项目运输线路图</w:t>
          </w:r>
        </w:p>
        <w:p>
          <w:pP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项目投资备案证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附件3选址意见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附件</w:t>
          </w:r>
          <w:r>
            <w:rPr>
              <w:rFonts w:hint="eastAsia" w:ascii="Times New Roman" w:hAnsi="Times New Roman" w:eastAsia="宋体" w:cs="Times New Roman"/>
              <w:color w:val="auto"/>
              <w:sz w:val="24"/>
              <w:szCs w:val="24"/>
              <w:highlight w:val="none"/>
              <w:lang w:val="en-US" w:eastAsia="zh-CN"/>
            </w:rPr>
            <w:t>4生态红线查询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附件5三线一单查询</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附件6标准确认复函及请示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附件7租赁合同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附件8监测报告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附件9环评合同、进度表及内审表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附件10评审意见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附件11修改清单</w:t>
          </w:r>
        </w:p>
      </w:sdtContent>
    </w:sdt>
    <w:p>
      <w:pPr>
        <w:pStyle w:val="13"/>
        <w:bidi w:val="0"/>
        <w:rPr>
          <w:rFonts w:hint="eastAsia"/>
          <w:lang w:eastAsia="zh-CN"/>
        </w:rPr>
        <w:sectPr>
          <w:footerReference r:id="rId4" w:type="default"/>
          <w:pgSz w:w="11906" w:h="16838"/>
          <w:pgMar w:top="646" w:right="1417" w:bottom="646" w:left="1417"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0" w:name="_Toc81399062"/>
      <w:bookmarkStart w:id="1" w:name="_Toc75"/>
    </w:p>
    <w:p>
      <w:pPr>
        <w:pStyle w:val="11"/>
        <w:spacing w:before="350" w:line="240" w:lineRule="auto"/>
        <w:ind w:left="420" w:right="415" w:firstLine="3347" w:firstLineChars="926"/>
        <w:outlineLvl w:val="0"/>
        <w:rPr>
          <w:b/>
          <w:color w:val="000000" w:themeColor="text1"/>
          <w:sz w:val="36"/>
          <w14:textFill>
            <w14:solidFill>
              <w14:schemeClr w14:val="tx1"/>
            </w14:solidFill>
          </w14:textFill>
        </w:rPr>
      </w:pPr>
      <w:bookmarkStart w:id="2" w:name="_Toc26865"/>
      <w:r>
        <w:rPr>
          <w:rFonts w:hint="eastAsia"/>
          <w:b/>
          <w:color w:val="000000" w:themeColor="text1"/>
          <w:sz w:val="36"/>
          <w14:textFill>
            <w14:solidFill>
              <w14:schemeClr w14:val="tx1"/>
            </w14:solidFill>
          </w14:textFill>
        </w:rPr>
        <w:t>前言</w:t>
      </w:r>
      <w:bookmarkEnd w:id="2"/>
    </w:p>
    <w:p>
      <w:pPr>
        <w:pStyle w:val="89"/>
        <w:keepNext w:val="0"/>
        <w:keepLines w:val="0"/>
        <w:pageBreakBefore w:val="0"/>
        <w:kinsoku/>
        <w:wordWrap/>
        <w:overflowPunct/>
        <w:topLinePunct w:val="0"/>
        <w:autoSpaceDE/>
        <w:autoSpaceDN/>
        <w:bidi w:val="0"/>
        <w:adjustRightInd/>
        <w:snapToGrid/>
        <w:spacing w:beforeLines="0" w:afterLines="0"/>
        <w:ind w:firstLine="496"/>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云龙~永平高速公路建设项目是《云南省道网规划（2014年-2030年）》中的一部分，为贯彻执行《云南省县域高速公路“互联互通”工程实施方案》（云办通〔2020〕19号），完善全省高速公路网络布局，提高干线公路网主骨架技术等级结构，加快云龙县、永平县新型城镇化建设步伐，提升互联互通水平的重要工程。线路起点位于云龙县长新乡南侧佳朋附近，设佳朋枢纽互通立交接大理至漾濞至云龙高速公路，途径检槽乡、云龙县城、宝丰镇、南新村、大栗树村，止于永平县城平坡村附近，设永平枢纽互通立交接G56杭瑞高速大理至保山段。线路全长87.665公里（云龙县境内58.66公里，永平县境内29.005公里），按双向四车道高速公路标准建设，设计速度80公里/小时，路基宽度25.5米。桥涵设计汽车荷载等级采用公路–I级，其他技术指标按《公路工程技术标准》（JTGB01–2014）执行。</w:t>
      </w:r>
    </w:p>
    <w:p>
      <w:pPr>
        <w:pStyle w:val="89"/>
        <w:keepNext w:val="0"/>
        <w:keepLines w:val="0"/>
        <w:pageBreakBefore w:val="0"/>
        <w:widowControl w:val="0"/>
        <w:kinsoku/>
        <w:wordWrap/>
        <w:overflowPunct/>
        <w:topLinePunct w:val="0"/>
        <w:autoSpaceDE/>
        <w:autoSpaceDN/>
        <w:bidi w:val="0"/>
        <w:adjustRightInd/>
        <w:snapToGrid/>
        <w:spacing w:beforeLines="0" w:afterLines="0"/>
        <w:ind w:firstLine="496" w:firstLineChars="200"/>
        <w:jc w:val="both"/>
        <w:textAlignment w:val="auto"/>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为满足云永高速公路砂石料</w:t>
      </w:r>
      <w:r>
        <w:rPr>
          <w:rFonts w:hint="eastAsia" w:ascii="宋体" w:hAnsi="宋体"/>
          <w:color w:val="000000" w:themeColor="text1"/>
          <w:sz w:val="24"/>
          <w:lang w:val="en-US" w:eastAsia="zh-CN"/>
          <w14:textFill>
            <w14:solidFill>
              <w14:schemeClr w14:val="tx1"/>
            </w14:solidFill>
          </w14:textFill>
        </w:rPr>
        <w:t>以及消耗解决渣土固废问题</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建设单位</w:t>
      </w:r>
      <w:r>
        <w:rPr>
          <w:rFonts w:hint="eastAsia" w:ascii="宋体" w:hAnsi="宋体"/>
          <w:color w:val="000000" w:themeColor="text1"/>
          <w14:textFill>
            <w14:solidFill>
              <w14:schemeClr w14:val="tx1"/>
            </w14:solidFill>
          </w14:textFill>
        </w:rPr>
        <w:t>受托</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加工</w:t>
      </w:r>
      <w:r>
        <w:rPr>
          <w:rFonts w:hint="eastAsia" w:ascii="宋体" w:hAnsi="宋体"/>
          <w:color w:val="000000" w:themeColor="text1"/>
          <w:lang w:val="en-US" w:eastAsia="zh-CN"/>
          <w14:textFill>
            <w14:solidFill>
              <w14:schemeClr w14:val="tx1"/>
            </w14:solidFill>
          </w14:textFill>
        </w:rPr>
        <w:t>狮头山隧道产出的</w:t>
      </w:r>
      <w:r>
        <w:rPr>
          <w:rFonts w:hint="eastAsia" w:ascii="宋体" w:hAnsi="宋体"/>
          <w:color w:val="000000" w:themeColor="text1"/>
          <w14:textFill>
            <w14:solidFill>
              <w14:schemeClr w14:val="tx1"/>
            </w14:solidFill>
          </w14:textFill>
        </w:rPr>
        <w:t>隧道洞渣</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产出的砂石料回用于高速公路建设。项目位于</w:t>
      </w:r>
      <w:r>
        <w:rPr>
          <w:rFonts w:hint="default"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t>云龙县长新乡龙子潭小组</w:t>
      </w:r>
      <w:r>
        <w:rPr>
          <w:rFonts w:hint="eastAsia"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主要为建设高速公路配套砂石料加工点，</w:t>
      </w:r>
      <w:r>
        <w:rPr>
          <w:rFonts w:hint="eastAsia" w:ascii="宋体" w:hAnsi="宋体"/>
          <w:color w:val="000000" w:themeColor="text1"/>
          <w14:textFill>
            <w14:solidFill>
              <w14:schemeClr w14:val="tx1"/>
            </w14:solidFill>
          </w14:textFill>
        </w:rPr>
        <w:t>根据云南省生态环境厅公示的《云龙至永平高速公路环境影响报告书》，</w:t>
      </w:r>
      <w:r>
        <w:rPr>
          <w:rFonts w:hint="eastAsia" w:ascii="宋体" w:hAnsi="宋体"/>
          <w:color w:val="000000" w:themeColor="text1"/>
          <w:lang w:val="en-US" w:eastAsia="zh-CN"/>
          <w14:textFill>
            <w14:solidFill>
              <w14:schemeClr w14:val="tx1"/>
            </w14:solidFill>
          </w14:textFill>
        </w:rPr>
        <w:t>项目涉及的</w:t>
      </w: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狮头山隧道，该隧道设计弃渣量为68.16万m</w:t>
      </w:r>
      <w:r>
        <w:rPr>
          <w:rFonts w:hint="eastAsia" w:ascii="Times New Roman" w:hAnsi="Times New Roman" w:eastAsia="宋体" w:cs="Times New Roman"/>
          <w:b w:val="0"/>
          <w:bCs/>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b w:val="0"/>
          <w:bCs/>
          <w:color w:val="000000" w:themeColor="text1"/>
          <w:kern w:val="0"/>
          <w:sz w:val="24"/>
          <w:highlight w:val="none"/>
          <w:vertAlign w:val="baseline"/>
          <w:lang w:val="en-US" w:eastAsia="zh-CN"/>
          <w14:textFill>
            <w14:solidFill>
              <w14:schemeClr w14:val="tx1"/>
            </w14:solidFill>
          </w14:textFill>
        </w:rPr>
        <w:t>，根据建设单位提供资料隧道渣能使用量约为44万吨（可供项目工作4年），项目根据高速公路建设服务大约4年，当隧道工程结束后，项目服务期也结束，估算服务时间为4年左右，但由于高速公路建设期未结束，则该项目也不确定结束时间，但是</w:t>
      </w:r>
      <w:r>
        <w:rPr>
          <w:rFonts w:hint="default" w:ascii="Times New Roman" w:hAnsi="Times New Roman" w:eastAsia="宋体" w:cs="Times New Roman"/>
          <w:b w:val="0"/>
          <w:bCs w:val="0"/>
          <w:color w:val="000000" w:themeColor="text1"/>
          <w:kern w:val="0"/>
          <w:sz w:val="24"/>
          <w:szCs w:val="24"/>
          <w:lang w:val="en-US" w:eastAsia="zh-CN" w:bidi="ar"/>
          <w14:textFill>
            <w14:solidFill>
              <w14:schemeClr w14:val="tx1"/>
            </w14:solidFill>
          </w14:textFill>
        </w:rPr>
        <w:t>该加工点为临时加工点，</w:t>
      </w:r>
      <w:r>
        <w:rPr>
          <w:rFonts w:hint="default" w:ascii="Times New Roman" w:hAnsi="Times New Roman" w:cs="Times New Roman"/>
          <w:b w:val="0"/>
          <w:bCs w:val="0"/>
          <w:color w:val="000000" w:themeColor="text1"/>
          <w:sz w:val="24"/>
          <w:szCs w:val="24"/>
          <w14:textFill>
            <w14:solidFill>
              <w14:schemeClr w14:val="tx1"/>
            </w14:solidFill>
          </w14:textFill>
        </w:rPr>
        <w:t>项目服务于云永高速公路项目，高速公路建设完成后，项目也将拆除。</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洞渣从狮头山隧道运输至项目破碎后，直接运输至项目西侧的拌合站使用，项目原料和成品在厂区不长时间堆存，弃渣场位于项目区西南侧约485米处。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项目于</w:t>
      </w:r>
      <w:r>
        <w:rPr>
          <w:rFonts w:hint="default" w:ascii="Times New Roman" w:hAnsi="Times New Roman" w:eastAsia="宋体" w:cs="Times New Roman"/>
          <w:color w:val="000000" w:themeColor="text1"/>
          <w:kern w:val="0"/>
          <w:sz w:val="24"/>
          <w:szCs w:val="24"/>
          <w:lang w:bidi="ar"/>
          <w14:textFill>
            <w14:solidFill>
              <w14:schemeClr w14:val="tx1"/>
            </w14:solidFill>
          </w14:textFill>
        </w:rPr>
        <w:t>202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日</w:t>
      </w:r>
      <w:r>
        <w:rPr>
          <w:rFonts w:hint="default" w:ascii="Times New Roman" w:hAnsi="Times New Roman" w:eastAsia="宋体" w:cs="Times New Roman"/>
          <w:color w:val="000000" w:themeColor="text1"/>
          <w:sz w:val="24"/>
          <w:szCs w:val="24"/>
          <w14:textFill>
            <w14:solidFill>
              <w14:schemeClr w14:val="tx1"/>
            </w14:solidFill>
          </w14:textFill>
        </w:rPr>
        <w:t>取得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云龙</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县发展和改革局</w:t>
      </w:r>
      <w:r>
        <w:rPr>
          <w:rFonts w:hint="default" w:ascii="Times New Roman" w:hAnsi="Times New Roman" w:eastAsia="宋体" w:cs="Times New Roman"/>
          <w:color w:val="000000" w:themeColor="text1"/>
          <w:sz w:val="24"/>
          <w:szCs w:val="24"/>
          <w14:textFill>
            <w14:solidFill>
              <w14:schemeClr w14:val="tx1"/>
            </w14:solidFill>
          </w14:textFill>
        </w:rPr>
        <w:t>核发的投资项目备案证，项目代码：2411-532929-04-05-894792。根据《中华人民共和国环境保护法》、《中华人民共和国环境影响评价法》、《建设项目环境保护管理条例》的相关规定，</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10万吨</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砂石料加工点项目</w:t>
      </w:r>
      <w:r>
        <w:rPr>
          <w:rFonts w:hint="default" w:ascii="Times New Roman" w:hAnsi="Times New Roman" w:eastAsia="宋体" w:cs="Times New Roman"/>
          <w:color w:val="000000" w:themeColor="text1"/>
          <w:sz w:val="24"/>
          <w:szCs w:val="24"/>
          <w14:textFill>
            <w14:solidFill>
              <w14:schemeClr w14:val="tx1"/>
            </w14:solidFill>
          </w14:textFill>
        </w:rPr>
        <w:t>需进行环境影响评价。根据《建设项目环境影响评价分类管理名录》（2021年版），本项目属于“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第二十七项“非金属矿物制品业”第56</w:t>
      </w:r>
      <w: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砖瓦、石材等建筑材料制造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303</w:t>
      </w:r>
      <w:r>
        <w:rPr>
          <w:rFonts w:hint="default" w:ascii="Times New Roman" w:hAnsi="Times New Roman" w:eastAsia="宋体" w:cs="Times New Roman"/>
          <w:color w:val="000000" w:themeColor="text1"/>
          <w:sz w:val="24"/>
          <w:szCs w:val="24"/>
          <w14:textFill>
            <w14:solidFill>
              <w14:schemeClr w14:val="tx1"/>
            </w14:solidFill>
          </w14:textFill>
        </w:rPr>
        <w:t>”，因此，本项目应编制环境影响报告</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000000" w:themeColor="text1"/>
          <w:lang w:eastAsia="zh-CN"/>
          <w14:textFill>
            <w14:solidFill>
              <w14:schemeClr w14:val="tx1"/>
            </w14:solidFill>
          </w14:textFill>
        </w:rPr>
        <w:sectPr>
          <w:pgSz w:w="11906" w:h="16838"/>
          <w:pgMar w:top="646" w:right="1417" w:bottom="646" w:left="141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宋体" w:cs="Times New Roman"/>
          <w:color w:val="000000" w:themeColor="text1"/>
          <w:sz w:val="24"/>
          <w:szCs w:val="24"/>
          <w14:textFill>
            <w14:solidFill>
              <w14:schemeClr w14:val="tx1"/>
            </w14:solidFill>
          </w14:textFill>
        </w:rPr>
        <w:t>202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年1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w:t>
      </w:r>
      <w:r>
        <w:rPr>
          <w:rFonts w:hint="default" w:ascii="Times New Roman" w:hAnsi="Times New Roman" w:eastAsia="宋体" w:cs="Times New Roman"/>
          <w:color w:val="000000" w:themeColor="text1"/>
          <w:sz w:val="24"/>
          <w:szCs w:val="24"/>
          <w14:textFill>
            <w14:solidFill>
              <w14:schemeClr w14:val="tx1"/>
            </w14:solidFill>
          </w14:textFill>
        </w:rPr>
        <w:t>日，</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禄劝老五建筑劳务分包有限公司</w:t>
      </w:r>
      <w:r>
        <w:rPr>
          <w:rFonts w:hint="default" w:ascii="Times New Roman" w:hAnsi="Times New Roman" w:eastAsia="宋体" w:cs="Times New Roman"/>
          <w:color w:val="000000" w:themeColor="text1"/>
          <w:sz w:val="24"/>
          <w:szCs w:val="24"/>
          <w14:textFill>
            <w14:solidFill>
              <w14:schemeClr w14:val="tx1"/>
            </w14:solidFill>
          </w14:textFill>
        </w:rPr>
        <w:t>委托</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云南环润</w:t>
      </w:r>
      <w:r>
        <w:rPr>
          <w:rFonts w:hint="default" w:ascii="Times New Roman" w:hAnsi="Times New Roman" w:eastAsia="宋体" w:cs="Times New Roman"/>
          <w:color w:val="000000" w:themeColor="text1"/>
          <w:sz w:val="24"/>
          <w:szCs w:val="24"/>
          <w14:textFill>
            <w14:solidFill>
              <w14:schemeClr w14:val="tx1"/>
            </w14:solidFill>
          </w14:textFill>
        </w:rPr>
        <w:t>环保科技有限公司承担《</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万吨砂石料加工点项目</w:t>
      </w:r>
      <w:r>
        <w:rPr>
          <w:rFonts w:hint="default" w:ascii="Times New Roman" w:hAnsi="Times New Roman" w:eastAsia="宋体" w:cs="Times New Roman"/>
          <w:color w:val="000000" w:themeColor="text1"/>
          <w:sz w:val="24"/>
          <w:szCs w:val="24"/>
          <w14:textFill>
            <w14:solidFill>
              <w14:schemeClr w14:val="tx1"/>
            </w14:solidFill>
          </w14:textFill>
        </w:rPr>
        <w:t>环境影响报告</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w:t>
      </w:r>
      <w:r>
        <w:rPr>
          <w:rFonts w:hint="default" w:ascii="Times New Roman" w:hAnsi="Times New Roman" w:eastAsia="宋体" w:cs="Times New Roman"/>
          <w:color w:val="000000" w:themeColor="text1"/>
          <w:sz w:val="24"/>
          <w:szCs w:val="24"/>
          <w14:textFill>
            <w14:solidFill>
              <w14:schemeClr w14:val="tx1"/>
            </w14:solidFill>
          </w14:textFill>
        </w:rPr>
        <w:t>》的编制工作，</w:t>
      </w:r>
      <w:r>
        <w:rPr>
          <w:rFonts w:hint="default" w:ascii="Times New Roman" w:hAnsi="Times New Roman" w:eastAsia="宋体" w:cs="Times New Roman"/>
          <w:bCs/>
          <w:color w:val="000000" w:themeColor="text1"/>
          <w:sz w:val="24"/>
          <w:szCs w:val="24"/>
          <w14:textFill>
            <w14:solidFill>
              <w14:schemeClr w14:val="tx1"/>
            </w14:solidFill>
          </w14:textFill>
        </w:rPr>
        <w:t>我单位在</w:t>
      </w:r>
      <w:r>
        <w:rPr>
          <w:rFonts w:hint="default" w:ascii="Times New Roman" w:hAnsi="Times New Roman" w:eastAsia="宋体" w:cs="Times New Roman"/>
          <w:bCs/>
          <w:color w:val="000000" w:themeColor="text1"/>
          <w:sz w:val="24"/>
          <w:szCs w:val="24"/>
          <w:lang w:eastAsia="zh-CN"/>
          <w14:textFill>
            <w14:solidFill>
              <w14:schemeClr w14:val="tx1"/>
            </w14:solidFill>
          </w14:textFill>
        </w:rPr>
        <w:t>接受</w:t>
      </w:r>
      <w:r>
        <w:rPr>
          <w:rFonts w:hint="default" w:ascii="Times New Roman" w:hAnsi="Times New Roman" w:eastAsia="宋体" w:cs="Times New Roman"/>
          <w:bCs/>
          <w:color w:val="000000" w:themeColor="text1"/>
          <w:sz w:val="24"/>
          <w:szCs w:val="24"/>
          <w14:textFill>
            <w14:solidFill>
              <w14:schemeClr w14:val="tx1"/>
            </w14:solidFill>
          </w14:textFill>
        </w:rPr>
        <w:t>委托后组织人员对该项目开展了相关的环评工作，</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踏勘</w:t>
      </w:r>
      <w:r>
        <w:rPr>
          <w:rFonts w:hint="default" w:ascii="Times New Roman" w:hAnsi="Times New Roman" w:eastAsia="宋体" w:cs="Times New Roman"/>
          <w:bCs/>
          <w:color w:val="000000" w:themeColor="text1"/>
          <w:sz w:val="24"/>
          <w:szCs w:val="24"/>
          <w14:textFill>
            <w14:solidFill>
              <w14:schemeClr w14:val="tx1"/>
            </w14:solidFill>
          </w14:textFill>
        </w:rPr>
        <w:t>该项目场址周边环境及企业生产的实际情况，收集和查阅了该项目的有关资料，在对项目进行认真分析后，根据环境影响评价相关法律法规和技术导则编制了《</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万吨砂石料加工点项目</w:t>
      </w:r>
      <w:r>
        <w:rPr>
          <w:rFonts w:hint="default" w:ascii="Times New Roman" w:hAnsi="Times New Roman" w:eastAsia="宋体" w:cs="Times New Roman"/>
          <w:bCs/>
          <w:color w:val="000000" w:themeColor="text1"/>
          <w:sz w:val="24"/>
          <w:szCs w:val="24"/>
          <w14:textFill>
            <w14:solidFill>
              <w14:schemeClr w14:val="tx1"/>
            </w14:solidFill>
          </w14:textFill>
        </w:rPr>
        <w:t>项目环境影响报告表》，供建设单位上报审查。</w:t>
      </w:r>
    </w:p>
    <w:p>
      <w:pPr>
        <w:pStyle w:val="2"/>
        <w:suppressLineNumbers w:val="0"/>
        <w:spacing w:before="62" w:beforeLines="20" w:after="31" w:afterLines="10" w:line="360" w:lineRule="auto"/>
        <w:jc w:val="center"/>
        <w:rPr>
          <w:rFonts w:ascii="Times New Roman" w:hAnsi="Times New Roman" w:eastAsia="黑体" w:cs="Times New Roman"/>
          <w:b w:val="0"/>
          <w:color w:val="auto"/>
          <w:sz w:val="30"/>
          <w:szCs w:val="30"/>
        </w:rPr>
      </w:pPr>
      <w:r>
        <w:rPr>
          <w:rFonts w:ascii="Times New Roman" w:hAnsi="Times New Roman" w:eastAsia="黑体" w:cs="Times New Roman"/>
          <w:b w:val="0"/>
          <w:color w:val="auto"/>
          <w:sz w:val="30"/>
          <w:szCs w:val="30"/>
        </w:rPr>
        <w:t>一、建设项目基本情况</w:t>
      </w:r>
      <w:bookmarkEnd w:id="0"/>
      <w:bookmarkEnd w:id="1"/>
    </w:p>
    <w:tbl>
      <w:tblPr>
        <w:tblStyle w:val="26"/>
        <w:tblW w:w="90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58"/>
        <w:gridCol w:w="2263"/>
        <w:gridCol w:w="2019"/>
        <w:gridCol w:w="30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建设项目名称</w:t>
            </w:r>
          </w:p>
        </w:tc>
        <w:tc>
          <w:tcPr>
            <w:tcW w:w="7318" w:type="dxa"/>
            <w:gridSpan w:val="3"/>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10万吨砂石料加工点项目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项目代码</w:t>
            </w:r>
          </w:p>
        </w:tc>
        <w:tc>
          <w:tcPr>
            <w:tcW w:w="7318" w:type="dxa"/>
            <w:gridSpan w:val="3"/>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2411-532929-04-05-894792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建设单位联系人</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刘忠友</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en-US"/>
                <w14:textFill>
                  <w14:solidFill>
                    <w14:schemeClr w14:val="tx1"/>
                  </w14:solidFill>
                </w14:textFill>
              </w:rPr>
              <w:t>联系方式</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15911518611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建设地点</w:t>
            </w:r>
          </w:p>
        </w:tc>
        <w:tc>
          <w:tcPr>
            <w:tcW w:w="7318" w:type="dxa"/>
            <w:gridSpan w:val="3"/>
            <w:vAlign w:val="center"/>
          </w:tcPr>
          <w:p>
            <w:pPr>
              <w:pStyle w:val="10"/>
              <w:jc w:val="center"/>
              <w:rPr>
                <w:rFonts w:hint="default"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t>云龙县长新乡龙子潭小组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地理坐标</w:t>
            </w:r>
          </w:p>
        </w:tc>
        <w:tc>
          <w:tcPr>
            <w:tcW w:w="7318" w:type="dxa"/>
            <w:gridSpan w:val="3"/>
            <w:vAlign w:val="center"/>
          </w:tcPr>
          <w:p>
            <w:pPr>
              <w:adjustRightInd w:val="0"/>
              <w:snapToGrid w:val="0"/>
              <w:ind w:firstLine="480" w:firstLineChars="20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东经</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99</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度</w:t>
            </w:r>
            <w:r>
              <w:rPr>
                <w:rFonts w:hint="default"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3</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分</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51.509</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秒，</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北纬</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26</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度</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1</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分</w:t>
            </w:r>
            <w:r>
              <w:rPr>
                <w:rFonts w:hint="eastAsia"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t>52.899</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73"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国民经济</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行业类别</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C</w:t>
            </w:r>
            <w:r>
              <w:rPr>
                <w:rFonts w:hint="default" w:ascii="Times New Roman" w:hAnsi="Times New Roman" w:eastAsia="宋体" w:cs="Times New Roman"/>
                <w:color w:val="000000" w:themeColor="text1"/>
                <w:sz w:val="24"/>
                <w:highlight w:val="none"/>
                <w14:textFill>
                  <w14:solidFill>
                    <w14:schemeClr w14:val="tx1"/>
                  </w14:solidFill>
                </w14:textFill>
              </w:rPr>
              <w:t>3039其他建筑材料制造</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bookmarkStart w:id="3" w:name="_Hlk49843745"/>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建设项目</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行业类别</w:t>
            </w:r>
            <w:bookmarkEnd w:id="3"/>
          </w:p>
        </w:tc>
        <w:tc>
          <w:tcPr>
            <w:tcW w:w="3036" w:type="dxa"/>
            <w:vAlign w:val="center"/>
          </w:tcPr>
          <w:p>
            <w:pPr>
              <w:adjustRightInd w:val="0"/>
              <w:snapToGrid w:val="0"/>
              <w:jc w:val="center"/>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第二十七项“非金属矿物制品业”</w:t>
            </w:r>
          </w:p>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第</w:t>
            </w:r>
            <w:r>
              <w:rPr>
                <w:rFonts w:hint="default" w:ascii="Times New Roman" w:hAnsi="Times New Roman" w:cs="Times New Roman"/>
                <w:color w:val="000000" w:themeColor="text1"/>
                <w:sz w:val="24"/>
                <w:highlight w:val="none"/>
                <w:lang w:val="en-US" w:eastAsia="zh-CN"/>
                <w14:textFill>
                  <w14:solidFill>
                    <w14:schemeClr w14:val="tx1"/>
                  </w14:solidFill>
                </w14:textFill>
              </w:rPr>
              <w:t>56</w:t>
            </w:r>
            <w:r>
              <w:rPr>
                <w:rFonts w:hint="default" w:ascii="Times New Roman" w:hAnsi="Times New Roman" w:cs="Times New Roman"/>
                <w:color w:val="000000" w:themeColor="text1"/>
                <w:sz w:val="24"/>
                <w:highlight w:val="none"/>
                <w:lang w:val="en-US"/>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砖瓦、石材等建筑材料制造</w:t>
            </w:r>
            <w:r>
              <w:rPr>
                <w:rFonts w:hint="eastAsia" w:ascii="Times New Roman" w:hAnsi="Times New Roman" w:cs="Times New Roman"/>
                <w:color w:val="000000" w:themeColor="text1"/>
                <w:sz w:val="24"/>
                <w:highlight w:val="none"/>
                <w:lang w:val="en-US" w:eastAsia="zh-CN"/>
                <w14:textFill>
                  <w14:solidFill>
                    <w14:schemeClr w14:val="tx1"/>
                  </w14:solidFill>
                </w14:textFill>
              </w:rPr>
              <w:t>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建设性质</w:t>
            </w:r>
          </w:p>
        </w:tc>
        <w:tc>
          <w:tcPr>
            <w:tcW w:w="2263" w:type="dxa"/>
            <w:vAlign w:val="center"/>
          </w:tcPr>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 eq \o\ac(</w:instrText>
            </w:r>
            <w:r>
              <w:rPr>
                <w:rFonts w:hint="default" w:ascii="Times New Roman" w:hAnsi="Times New Roman" w:eastAsia="宋体" w:cs="Times New Roman"/>
                <w:color w:val="000000" w:themeColor="text1"/>
                <w:kern w:val="21"/>
                <w:position w:val="-4"/>
                <w:sz w:val="36"/>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新建（</w:t>
            </w:r>
            <w:r>
              <w:rPr>
                <w:rFonts w:hint="eastAsia" w:eastAsia="宋体"/>
                <w:color w:val="000000" w:themeColor="text1"/>
                <w:sz w:val="24"/>
                <w:lang w:val="en-US" w:eastAsia="zh-CN"/>
                <w14:textFill>
                  <w14:solidFill>
                    <w14:schemeClr w14:val="tx1"/>
                  </w14:solidFill>
                </w14:textFill>
              </w:rPr>
              <w:t>迁建</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□改建</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□扩建</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□技术改造</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建设项目申报情形</w:t>
            </w:r>
          </w:p>
        </w:tc>
        <w:tc>
          <w:tcPr>
            <w:tcW w:w="3036" w:type="dxa"/>
            <w:vAlign w:val="center"/>
          </w:tcPr>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 eq \o\ac(</w:instrText>
            </w:r>
            <w:r>
              <w:rPr>
                <w:rFonts w:hint="default" w:ascii="Times New Roman" w:hAnsi="Times New Roman" w:eastAsia="宋体" w:cs="Times New Roman"/>
                <w:color w:val="000000" w:themeColor="text1"/>
                <w:kern w:val="21"/>
                <w:position w:val="-4"/>
                <w:sz w:val="36"/>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首次申报项目</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□不予批准后再次申报项</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□超五年重新审核项目</w:t>
            </w:r>
          </w:p>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项目审批（核准/备案）部门（选填）</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云龙县</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发展和改革局</w:t>
            </w:r>
          </w:p>
        </w:tc>
        <w:tc>
          <w:tcPr>
            <w:tcW w:w="2019"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项目审批（核准/</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备案）文号（选填）</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龙发改投资备案</w:t>
            </w:r>
            <w:r>
              <w:rPr>
                <w:rFonts w:hint="eastAsia" w:ascii="微软雅黑" w:hAnsi="微软雅黑" w:eastAsia="微软雅黑" w:cs="微软雅黑"/>
                <w:color w:val="000000" w:themeColor="text1"/>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2024</w:t>
            </w:r>
            <w:r>
              <w:rPr>
                <w:rFonts w:hint="eastAsia" w:ascii="微软雅黑" w:hAnsi="微软雅黑" w:eastAsia="微软雅黑" w:cs="微软雅黑"/>
                <w:color w:val="000000" w:themeColor="text1"/>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总投资（万元）</w:t>
            </w:r>
          </w:p>
        </w:tc>
        <w:tc>
          <w:tcPr>
            <w:tcW w:w="2263" w:type="dxa"/>
            <w:vAlign w:val="center"/>
          </w:tcPr>
          <w:p>
            <w:pPr>
              <w:widowControl/>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100</w:t>
            </w:r>
          </w:p>
        </w:tc>
        <w:tc>
          <w:tcPr>
            <w:tcW w:w="201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环保投资（万元）</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环保投资占比（%）</w:t>
            </w:r>
          </w:p>
        </w:tc>
        <w:tc>
          <w:tcPr>
            <w:tcW w:w="2263"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19.2</w:t>
            </w:r>
          </w:p>
        </w:tc>
        <w:tc>
          <w:tcPr>
            <w:tcW w:w="201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施工工期</w:t>
            </w:r>
          </w:p>
        </w:tc>
        <w:tc>
          <w:tcPr>
            <w:tcW w:w="3036"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58"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是否开工建设</w:t>
            </w:r>
          </w:p>
        </w:tc>
        <w:tc>
          <w:tcPr>
            <w:tcW w:w="2263" w:type="dxa"/>
            <w:vAlign w:val="center"/>
          </w:tcPr>
          <w:p>
            <w:pPr>
              <w:adjustRightInd w:val="0"/>
              <w:snapToGrid w:val="0"/>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 eq \o\ac(</w:instrText>
            </w:r>
            <w:r>
              <w:rPr>
                <w:rFonts w:hint="default" w:ascii="Times New Roman" w:hAnsi="Times New Roman" w:eastAsia="宋体" w:cs="Times New Roman"/>
                <w:color w:val="000000" w:themeColor="text1"/>
                <w:kern w:val="21"/>
                <w:position w:val="-4"/>
                <w:sz w:val="36"/>
                <w:szCs w:val="24"/>
                <w:highlight w:val="none"/>
                <w14:textFill>
                  <w14:solidFill>
                    <w14:schemeClr w14:val="tx1"/>
                  </w14:solidFill>
                </w14:textFill>
              </w:rPr>
              <w:instrText xml:space="preserve">□</w:instrText>
            </w:r>
            <w:r>
              <w:rPr>
                <w:rFonts w:hint="eastAsia" w:ascii="Times New Roman" w:hAnsi="Times New Roman" w:eastAsia="宋体" w:cs="Times New Roman"/>
                <w:color w:val="000000" w:themeColor="text1"/>
                <w:kern w:val="21"/>
                <w:position w:val="-4"/>
                <w:sz w:val="36"/>
                <w:szCs w:val="24"/>
                <w:highlight w:val="none"/>
                <w:lang w:eastAsia="zh-CN"/>
                <w14:textFill>
                  <w14:solidFill>
                    <w14:schemeClr w14:val="tx1"/>
                  </w14:solidFill>
                </w14:textFill>
              </w:rPr>
              <w:instrText xml:space="preserve">,</w:instrText>
            </w:r>
            <w:r>
              <w:rPr>
                <w:rFonts w:hint="eastAsia" w:ascii="Times New Roman" w:hAnsi="Times New Roman" w:eastAsia="宋体" w:cs="Times New Roman"/>
                <w:color w:val="000000" w:themeColor="text1"/>
                <w:kern w:val="21"/>
                <w:position w:val="0"/>
                <w:sz w:val="25"/>
                <w:szCs w:val="24"/>
                <w:highlight w:val="none"/>
                <w:lang w:eastAsia="zh-CN"/>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instrText xml:space="preserve">)</w:instrTex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fldChar w:fldCharType="end"/>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否</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□是：</w:t>
            </w:r>
          </w:p>
        </w:tc>
        <w:tc>
          <w:tcPr>
            <w:tcW w:w="201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用地（用海）</w:t>
            </w:r>
          </w:p>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面积（m</w:t>
            </w:r>
            <w:r>
              <w:rPr>
                <w:rFonts w:hint="default" w:ascii="Times New Roman" w:hAnsi="Times New Roman" w:eastAsia="宋体" w:cs="Times New Roman"/>
                <w:color w:val="000000" w:themeColor="text1"/>
                <w:kern w:val="21"/>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w:t>
            </w:r>
          </w:p>
        </w:tc>
        <w:tc>
          <w:tcPr>
            <w:tcW w:w="3036" w:type="dxa"/>
            <w:vAlign w:val="center"/>
          </w:tcPr>
          <w:p>
            <w:pPr>
              <w:keepNext w:val="0"/>
              <w:keepLines w:val="0"/>
              <w:widowControl/>
              <w:suppressLineNumbers w:val="0"/>
              <w:jc w:val="cente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4535.7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专项评价设置情况</w:t>
            </w:r>
          </w:p>
        </w:tc>
        <w:tc>
          <w:tcPr>
            <w:tcW w:w="7318" w:type="dxa"/>
            <w:gridSpan w:val="3"/>
            <w:vAlign w:val="center"/>
          </w:tcPr>
          <w:p>
            <w:pPr>
              <w:autoSpaceDE w:val="0"/>
              <w:autoSpaceDN w:val="0"/>
              <w:spacing w:line="360" w:lineRule="auto"/>
              <w:ind w:firstLine="480" w:firstLineChars="200"/>
              <w:jc w:val="left"/>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根据《建设项目环境影响报告表编制技术指南（污染影响类）（试行）》，本项目不设置专项评价，具体专项评价设置原则及本项目判定情况见下表。</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14:textFill>
                  <w14:solidFill>
                    <w14:schemeClr w14:val="tx1"/>
                  </w14:solidFill>
                </w14:textFill>
              </w:rPr>
              <w:t>表1-1专项评价设置情况表</w:t>
            </w:r>
          </w:p>
          <w:tbl>
            <w:tblPr>
              <w:tblStyle w:val="27"/>
              <w:tblW w:w="7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469"/>
              <w:gridCol w:w="2472"/>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专项评价的类别</w:t>
                  </w:r>
                </w:p>
              </w:tc>
              <w:tc>
                <w:tcPr>
                  <w:tcW w:w="2469"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设置原则</w:t>
                  </w:r>
                </w:p>
              </w:tc>
              <w:tc>
                <w:tcPr>
                  <w:tcW w:w="2472"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项目判定情况</w:t>
                  </w:r>
                </w:p>
              </w:tc>
              <w:tc>
                <w:tcPr>
                  <w:tcW w:w="1001" w:type="dxa"/>
                  <w:vAlign w:val="center"/>
                </w:tcPr>
                <w:p>
                  <w:pPr>
                    <w:pStyle w:val="13"/>
                    <w:jc w:val="cente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1"/>
                      <w:sz w:val="21"/>
                      <w:szCs w:val="21"/>
                      <w:highlight w:val="none"/>
                      <w:lang w:val="en-US" w:eastAsia="zh-CN" w:bidi="ar-SA"/>
                      <w14:textFill>
                        <w14:solidFill>
                          <w14:schemeClr w14:val="tx1"/>
                        </w14:solidFill>
                      </w14:textFill>
                    </w:rPr>
                    <w:t>是否设置专题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大气</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排放废气含有毒有害污染物</w:t>
                  </w:r>
                  <w:r>
                    <w:rPr>
                      <w:rFonts w:hint="default" w:ascii="Times New Roman" w:hAnsi="Times New Roman" w:eastAsia="宋体" w:cs="Times New Roman"/>
                      <w:color w:val="000000" w:themeColor="text1"/>
                      <w:kern w:val="21"/>
                      <w:szCs w:val="2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kern w:val="21"/>
                      <w:szCs w:val="21"/>
                      <w:highlight w:val="none"/>
                      <w14:textFill>
                        <w14:solidFill>
                          <w14:schemeClr w14:val="tx1"/>
                        </w14:solidFill>
                      </w14:textFill>
                    </w:rPr>
                    <w:t>、二噁英、苯并[a]芘、氰化物、氯气且厂界外500米范围内有环境空气保护目标</w:t>
                  </w:r>
                  <w:r>
                    <w:rPr>
                      <w:rFonts w:hint="default" w:ascii="Times New Roman" w:hAnsi="Times New Roman" w:eastAsia="宋体" w:cs="Times New Roman"/>
                      <w:color w:val="000000" w:themeColor="text1"/>
                      <w:kern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1"/>
                      <w:szCs w:val="21"/>
                      <w:highlight w:val="none"/>
                      <w14:textFill>
                        <w14:solidFill>
                          <w14:schemeClr w14:val="tx1"/>
                        </w14:solidFill>
                      </w14:textFill>
                    </w:rPr>
                    <w:t>的建设项目</w:t>
                  </w:r>
                </w:p>
              </w:tc>
              <w:tc>
                <w:tcPr>
                  <w:tcW w:w="2472" w:type="dxa"/>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宋体" w:cs="Times New Roman"/>
                      <w:b/>
                      <w:bCs/>
                      <w:color w:val="000000" w:themeColor="text1"/>
                      <w:kern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本项目排放</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的</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废气主要为</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颗粒物</w:t>
                  </w:r>
                  <w:r>
                    <w:rPr>
                      <w:rFonts w:hint="default" w:ascii="Times New Roman" w:hAnsi="Times New Roman" w:eastAsia="宋体" w:cs="Times New Roman"/>
                      <w:color w:val="000000" w:themeColor="text1"/>
                      <w:kern w:val="21"/>
                      <w:szCs w:val="21"/>
                      <w:highlight w:val="none"/>
                      <w14:textFill>
                        <w14:solidFill>
                          <w14:schemeClr w14:val="tx1"/>
                        </w14:solidFill>
                      </w14:textFill>
                    </w:rPr>
                    <w:t>，不涉及毒有害污染物</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地表水</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新增工业废水直排建设项目（槽罐车外送污水处理厂的除外）；新增废水直排的污水集中处理厂</w:t>
                  </w:r>
                </w:p>
              </w:tc>
              <w:tc>
                <w:tcPr>
                  <w:tcW w:w="2472" w:type="dxa"/>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本项目无工业废水外排。</w:t>
                  </w: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生产过程使用水，不产生生产废水；生活污水经收集后</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回用</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环境风险</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有毒有害和易燃易爆危险物质存储量超过临界量</w:t>
                  </w:r>
                  <w:r>
                    <w:rPr>
                      <w:rFonts w:hint="default" w:ascii="Times New Roman" w:hAnsi="Times New Roman" w:eastAsia="宋体" w:cs="Times New Roman"/>
                      <w:color w:val="000000" w:themeColor="text1"/>
                      <w:kern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kern w:val="21"/>
                      <w:szCs w:val="21"/>
                      <w:highlight w:val="none"/>
                      <w14:textFill>
                        <w14:solidFill>
                          <w14:schemeClr w14:val="tx1"/>
                        </w14:solidFill>
                      </w14:textFill>
                    </w:rPr>
                    <w:t>的建设项目</w:t>
                  </w:r>
                </w:p>
              </w:tc>
              <w:tc>
                <w:tcPr>
                  <w:tcW w:w="2472" w:type="dxa"/>
                  <w:vAlign w:val="center"/>
                </w:tcPr>
                <w:p>
                  <w:pPr>
                    <w:widowControl/>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项目有毒有害和易燃易爆危险物质存储量未超过临界量</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生态</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取水口下游500米范围内有重要水生生物的自然产卵场、索饵场、越冬场和洄游通道的新增河道取水的污染类建设项目</w:t>
                  </w:r>
                </w:p>
              </w:tc>
              <w:tc>
                <w:tcPr>
                  <w:tcW w:w="2472"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b/>
                      <w:bCs/>
                      <w:color w:val="000000" w:themeColor="text1"/>
                      <w:kern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项目</w:t>
                  </w:r>
                  <w:r>
                    <w:rPr>
                      <w:rFonts w:hint="default" w:ascii="Times New Roman" w:hAnsi="Times New Roman" w:eastAsia="宋体" w:cs="Times New Roman"/>
                      <w:color w:val="000000" w:themeColor="text1"/>
                      <w:kern w:val="0"/>
                      <w:szCs w:val="21"/>
                      <w:highlight w:val="none"/>
                      <w:lang w:eastAsia="zh-CN" w:bidi="ar"/>
                      <w14:textFill>
                        <w14:solidFill>
                          <w14:schemeClr w14:val="tx1"/>
                        </w14:solidFill>
                      </w14:textFill>
                    </w:rPr>
                    <w:t>生活</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用水使用</w:t>
                  </w:r>
                  <w:r>
                    <w:rPr>
                      <w:rFonts w:hint="default" w:ascii="Times New Roman" w:hAnsi="Times New Roman" w:eastAsia="宋体" w:cs="Times New Roman"/>
                      <w:color w:val="000000" w:themeColor="text1"/>
                      <w:kern w:val="0"/>
                      <w:szCs w:val="21"/>
                      <w:highlight w:val="none"/>
                      <w:lang w:val="en-US" w:eastAsia="zh-CN" w:bidi="ar"/>
                      <w14:textFill>
                        <w14:solidFill>
                          <w14:schemeClr w14:val="tx1"/>
                        </w14:solidFill>
                      </w14:textFill>
                    </w:rPr>
                    <w:t>城市</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供水管网，无取水口设置</w:t>
                  </w:r>
                  <w:r>
                    <w:rPr>
                      <w:rFonts w:hint="default" w:ascii="Times New Roman" w:hAnsi="Times New Roman" w:eastAsia="宋体" w:cs="Times New Roman"/>
                      <w:color w:val="000000" w:themeColor="text1"/>
                      <w:kern w:val="0"/>
                      <w:szCs w:val="21"/>
                      <w:highlight w:val="none"/>
                      <w:lang w:eastAsia="zh-CN" w:bidi="ar"/>
                      <w14:textFill>
                        <w14:solidFill>
                          <w14:schemeClr w14:val="tx1"/>
                        </w14:solidFill>
                      </w14:textFill>
                    </w:rPr>
                    <w:t>。</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海洋</w:t>
                  </w:r>
                </w:p>
              </w:tc>
              <w:tc>
                <w:tcPr>
                  <w:tcW w:w="2469"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直接向海排放污染物的海洋工程建设项目</w:t>
                  </w:r>
                </w:p>
              </w:tc>
              <w:tc>
                <w:tcPr>
                  <w:tcW w:w="2472"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本项目不向海洋外排废水</w:t>
                  </w: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w:t>
                  </w:r>
                </w:p>
              </w:tc>
              <w:tc>
                <w:tcPr>
                  <w:tcW w:w="1001" w:type="dxa"/>
                  <w:vAlign w:val="center"/>
                </w:tcPr>
                <w:p>
                  <w:pPr>
                    <w:autoSpaceDE w:val="0"/>
                    <w:autoSpaceDN w:val="0"/>
                    <w:jc w:val="center"/>
                    <w:rPr>
                      <w:rFonts w:hint="default" w:ascii="Times New Roman" w:hAnsi="Times New Roman" w:eastAsia="宋体" w:cs="Times New Roman"/>
                      <w:b/>
                      <w:bCs/>
                      <w:color w:val="000000" w:themeColor="text1"/>
                      <w:kern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6" w:type="dxa"/>
                  <w:gridSpan w:val="4"/>
                  <w:vAlign w:val="center"/>
                </w:tcPr>
                <w:p>
                  <w:pPr>
                    <w:autoSpaceDE w:val="0"/>
                    <w:autoSpaceDN w:val="0"/>
                    <w:jc w:val="both"/>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注：1.废气中有毒有害污染物指纳入《有毒有害大气污染物名录》的污染物（不包括无排放标准的污染物）。</w:t>
                  </w:r>
                </w:p>
                <w:p>
                  <w:pPr>
                    <w:autoSpaceDE w:val="0"/>
                    <w:autoSpaceDN w:val="0"/>
                    <w:jc w:val="both"/>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2.环境空气保护目标指自然保护区、风景名胜区、居住区、文化区和农村地区中人群较集中的区域。</w:t>
                  </w:r>
                </w:p>
                <w:p>
                  <w:pPr>
                    <w:autoSpaceDE w:val="0"/>
                    <w:autoSpaceDN w:val="0"/>
                    <w:jc w:val="both"/>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Cs w:val="21"/>
                      <w:highlight w:val="none"/>
                      <w14:textFill>
                        <w14:solidFill>
                          <w14:schemeClr w14:val="tx1"/>
                        </w14:solidFill>
                      </w14:textFill>
                    </w:rPr>
                    <w:t>3.临界量及其计算方法可参考《建设项目环境风险评价技术导则》（HJ169）附录B、附录C。</w:t>
                  </w:r>
                </w:p>
              </w:tc>
            </w:tr>
          </w:tbl>
          <w:p>
            <w:pPr>
              <w:autoSpaceDE w:val="0"/>
              <w:autoSpaceDN w:val="0"/>
              <w:adjustRightInd w:val="0"/>
              <w:snapToGrid w:val="0"/>
              <w:ind w:firstLine="482" w:firstLineChars="200"/>
              <w:jc w:val="left"/>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综上所述，本项目无需</w:t>
            </w:r>
            <w:r>
              <w:rPr>
                <w:rFonts w:hint="eastAsia" w:ascii="宋体" w:hAnsi="宋体" w:eastAsia="宋体" w:cs="宋体"/>
                <w:b/>
                <w:bCs/>
                <w:color w:val="000000" w:themeColor="text1"/>
                <w:sz w:val="24"/>
                <w:szCs w:val="24"/>
                <w:lang w:val="en-US" w:eastAsia="zh-CN"/>
                <w14:textFill>
                  <w14:solidFill>
                    <w14:schemeClr w14:val="tx1"/>
                  </w14:solidFill>
                </w14:textFill>
              </w:rPr>
              <w:t>开展</w:t>
            </w:r>
            <w:r>
              <w:rPr>
                <w:rFonts w:ascii="宋体" w:hAnsi="宋体" w:eastAsia="宋体" w:cs="宋体"/>
                <w:b/>
                <w:bCs/>
                <w:color w:val="000000" w:themeColor="text1"/>
                <w:sz w:val="24"/>
                <w:szCs w:val="24"/>
                <w14:textFill>
                  <w14:solidFill>
                    <w14:schemeClr w14:val="tx1"/>
                  </w14:solidFill>
                </w14:textFill>
              </w:rPr>
              <w:t>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规划情况</w:t>
            </w:r>
          </w:p>
        </w:tc>
        <w:tc>
          <w:tcPr>
            <w:tcW w:w="731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《云龙县长新乡集镇总体规划》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2009-2025年）</w:t>
            </w:r>
          </w:p>
          <w:p>
            <w:pPr>
              <w:pStyle w:val="11"/>
              <w:keepNext w:val="0"/>
              <w:keepLines w:val="0"/>
              <w:pageBreakBefore w:val="0"/>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发布单位：</w:t>
            </w:r>
            <w:r>
              <w:rPr>
                <w:rFonts w:hint="eastAsia" w:ascii="宋体" w:hAnsi="宋体"/>
                <w:color w:val="000000" w:themeColor="text1"/>
                <w:sz w:val="24"/>
                <w:szCs w:val="24"/>
                <w:lang w:eastAsia="zh-CN"/>
                <w14:textFill>
                  <w14:solidFill>
                    <w14:schemeClr w14:val="tx1"/>
                  </w14:solidFill>
                </w14:textFill>
              </w:rPr>
              <w:t>云龙县长新乡</w:t>
            </w:r>
            <w:r>
              <w:rPr>
                <w:rFonts w:hint="eastAsia" w:ascii="宋体" w:hAnsi="宋体"/>
                <w:color w:val="000000" w:themeColor="text1"/>
                <w:sz w:val="24"/>
                <w:szCs w:val="24"/>
                <w14:textFill>
                  <w14:solidFill>
                    <w14:schemeClr w14:val="tx1"/>
                  </w14:solidFill>
                </w14:textFill>
              </w:rPr>
              <w:t>人民政府</w:t>
            </w:r>
          </w:p>
          <w:p>
            <w:pPr>
              <w:pStyle w:val="11"/>
              <w:keepNext w:val="0"/>
              <w:keepLines w:val="0"/>
              <w:pageBreakBefore w:val="0"/>
              <w:kinsoku/>
              <w:wordWrap/>
              <w:overflowPunct/>
              <w:topLinePunct w:val="0"/>
              <w:autoSpaceDE/>
              <w:autoSpaceDN/>
              <w:bidi w:val="0"/>
              <w:adjustRightInd/>
              <w:snapToGrid/>
              <w:spacing w:after="0" w:line="360" w:lineRule="auto"/>
              <w:textAlignment w:val="auto"/>
              <w:rPr>
                <w:rFonts w:hint="default"/>
                <w:color w:val="000000" w:themeColor="text1"/>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发布时间：2009年6月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Align w:val="center"/>
          </w:tcPr>
          <w:p>
            <w:pPr>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规划环境影响评价情况</w:t>
            </w:r>
          </w:p>
        </w:tc>
        <w:tc>
          <w:tcPr>
            <w:tcW w:w="7318" w:type="dxa"/>
            <w:gridSpan w:val="3"/>
            <w:vAlign w:val="center"/>
          </w:tcPr>
          <w:p>
            <w:pPr>
              <w:keepNext w:val="0"/>
              <w:keepLines w:val="0"/>
              <w:widowControl/>
              <w:suppressLineNumbers w:val="0"/>
              <w:jc w:val="both"/>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规划及规划环境影响评价符合性分析</w:t>
            </w:r>
          </w:p>
        </w:tc>
        <w:tc>
          <w:tcPr>
            <w:tcW w:w="7318" w:type="dxa"/>
            <w:gridSpan w:val="3"/>
            <w:vAlign w:val="center"/>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default" w:ascii="Times New Roman" w:hAnsi="Times New Roman" w:eastAsia="宋体" w:cs="Times New Roman"/>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与</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云龙县长新乡</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集镇总体</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规划</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》（2009-2025年）</w:t>
            </w:r>
            <w:r>
              <w:rPr>
                <w:rFonts w:hint="default" w:ascii="Times New Roman" w:hAnsi="Times New Roman" w:eastAsia="宋体" w:cs="Times New Roman"/>
                <w:b/>
                <w:bCs/>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相符性分析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1）规划概述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规划范围：</w:t>
            </w:r>
            <w:r>
              <w:rPr>
                <w:rFonts w:hint="default" w:ascii="Times New Roman" w:hAnsi="Times New Roman" w:cs="Times New Roman"/>
                <w:color w:val="000000" w:themeColor="text1"/>
                <w:spacing w:val="0"/>
                <w:sz w:val="24"/>
                <w:szCs w:val="24"/>
                <w14:textFill>
                  <w14:solidFill>
                    <w14:schemeClr w14:val="tx1"/>
                  </w14:solidFill>
                </w14:textFill>
              </w:rPr>
              <w:t>分为二个层次：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第一层次为乡域全部行政区，面积</w:t>
            </w:r>
            <w:r>
              <w:rPr>
                <w:rFonts w:hint="default" w:ascii="Times New Roman" w:hAnsi="Times New Roman" w:cs="Times New Roman"/>
                <w:color w:val="000000" w:themeColor="text1"/>
                <w:spacing w:val="0"/>
                <w:sz w:val="24"/>
                <w:szCs w:val="24"/>
                <w:lang w:eastAsia="zh-CN"/>
                <w14:textFill>
                  <w14:solidFill>
                    <w14:schemeClr w14:val="tx1"/>
                  </w14:solidFill>
                </w14:textFill>
              </w:rPr>
              <w:t>463.68</w:t>
            </w:r>
            <w:r>
              <w:rPr>
                <w:rFonts w:hint="default" w:ascii="Times New Roman" w:hAnsi="Times New Roman" w:cs="Times New Roman"/>
                <w:color w:val="000000" w:themeColor="text1"/>
                <w:spacing w:val="0"/>
                <w:sz w:val="24"/>
                <w:szCs w:val="24"/>
                <w14:textFill>
                  <w14:solidFill>
                    <w14:schemeClr w14:val="tx1"/>
                  </w14:solidFill>
                </w14:textFill>
              </w:rPr>
              <w:t>平方公里；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ottom"/>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第二层次为集镇规划发展区，面积</w:t>
            </w:r>
            <w:r>
              <w:rPr>
                <w:rFonts w:hint="default" w:ascii="Times New Roman" w:hAnsi="Times New Roman" w:cs="Times New Roman"/>
                <w:color w:val="000000" w:themeColor="text1"/>
                <w:spacing w:val="0"/>
                <w:sz w:val="24"/>
                <w:szCs w:val="24"/>
                <w:lang w:eastAsia="zh-CN"/>
                <w14:textFill>
                  <w14:solidFill>
                    <w14:schemeClr w14:val="tx1"/>
                  </w14:solidFill>
                </w14:textFill>
              </w:rPr>
              <w:t>0.65</w:t>
            </w:r>
            <w:r>
              <w:rPr>
                <w:rFonts w:hint="default" w:ascii="Times New Roman" w:hAnsi="Times New Roman" w:cs="Times New Roman"/>
                <w:color w:val="000000" w:themeColor="text1"/>
                <w:spacing w:val="0"/>
                <w:sz w:val="24"/>
                <w:szCs w:val="24"/>
                <w14:textFill>
                  <w14:solidFill>
                    <w14:schemeClr w14:val="tx1"/>
                  </w14:solidFill>
                </w14:textFill>
              </w:rPr>
              <w:t>平方公里。</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在现状基础上，充分利用沘江两岸适宜修建的滩涂地和东山脚的缓坡地，</w:t>
            </w:r>
            <w:r>
              <w:rPr>
                <w:rFonts w:hint="default" w:ascii="Times New Roman" w:hAnsi="Times New Roman" w:cs="Times New Roman"/>
                <w:color w:val="000000" w:themeColor="text1"/>
                <w:sz w:val="24"/>
                <w:szCs w:val="24"/>
                <w14:textFill>
                  <w14:solidFill>
                    <w14:schemeClr w14:val="tx1"/>
                  </w14:solidFill>
                </w14:textFill>
              </w:rPr>
              <w:t>涉及</w:t>
            </w:r>
            <w:r>
              <w:rPr>
                <w:rFonts w:hint="default" w:ascii="Times New Roman" w:hAnsi="Times New Roman" w:cs="Times New Roman"/>
                <w:color w:val="000000" w:themeColor="text1"/>
                <w:sz w:val="24"/>
                <w:szCs w:val="24"/>
                <w:lang w:eastAsia="zh-CN"/>
                <w14:textFill>
                  <w14:solidFill>
                    <w14:schemeClr w14:val="tx1"/>
                  </w14:solidFill>
                </w14:textFill>
              </w:rPr>
              <w:t>长春</w:t>
            </w:r>
            <w:r>
              <w:rPr>
                <w:rFonts w:hint="default" w:ascii="Times New Roman" w:hAnsi="Times New Roman" w:cs="Times New Roman"/>
                <w:color w:val="000000" w:themeColor="text1"/>
                <w:sz w:val="24"/>
                <w:szCs w:val="24"/>
                <w14:textFill>
                  <w14:solidFill>
                    <w14:schemeClr w14:val="tx1"/>
                  </w14:solidFill>
                </w14:textFill>
              </w:rPr>
              <w:t>村委会下辖的</w:t>
            </w:r>
            <w:r>
              <w:rPr>
                <w:rFonts w:hint="default" w:ascii="Times New Roman" w:hAnsi="Times New Roman" w:cs="Times New Roman"/>
                <w:color w:val="000000" w:themeColor="text1"/>
                <w:sz w:val="24"/>
                <w:szCs w:val="24"/>
                <w:lang w:eastAsia="zh-CN"/>
                <w14:textFill>
                  <w14:solidFill>
                    <w14:schemeClr w14:val="tx1"/>
                  </w14:solidFill>
                </w14:textFill>
              </w:rPr>
              <w:t>长春坡</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龙塘，以及松炼</w:t>
            </w:r>
            <w:r>
              <w:rPr>
                <w:rFonts w:hint="default" w:ascii="Times New Roman" w:hAnsi="Times New Roman" w:cs="Times New Roman"/>
                <w:color w:val="000000" w:themeColor="text1"/>
                <w:sz w:val="24"/>
                <w:szCs w:val="24"/>
                <w14:textFill>
                  <w14:solidFill>
                    <w14:schemeClr w14:val="tx1"/>
                  </w14:solidFill>
                </w14:textFill>
              </w:rPr>
              <w:t>村委会下辖的</w:t>
            </w:r>
            <w:r>
              <w:rPr>
                <w:rFonts w:hint="default" w:ascii="Times New Roman" w:hAnsi="Times New Roman" w:cs="Times New Roman"/>
                <w:color w:val="000000" w:themeColor="text1"/>
                <w:sz w:val="24"/>
                <w:szCs w:val="24"/>
                <w:lang w:eastAsia="zh-CN"/>
                <w14:textFill>
                  <w14:solidFill>
                    <w14:schemeClr w14:val="tx1"/>
                  </w14:solidFill>
                </w14:textFill>
              </w:rPr>
              <w:t>松弄共三</w:t>
            </w:r>
            <w:r>
              <w:rPr>
                <w:rFonts w:hint="default" w:ascii="Times New Roman" w:hAnsi="Times New Roman" w:cs="Times New Roman"/>
                <w:color w:val="000000" w:themeColor="text1"/>
                <w:sz w:val="24"/>
                <w:szCs w:val="24"/>
                <w14:textFill>
                  <w14:solidFill>
                    <w14:schemeClr w14:val="tx1"/>
                  </w14:solidFill>
                </w14:textFill>
              </w:rPr>
              <w:t>个</w:t>
            </w:r>
            <w:r>
              <w:rPr>
                <w:rFonts w:hint="default" w:ascii="Times New Roman" w:hAnsi="Times New Roman" w:cs="Times New Roman"/>
                <w:color w:val="000000" w:themeColor="text1"/>
                <w:sz w:val="24"/>
                <w:szCs w:val="24"/>
                <w:lang w:eastAsia="zh-CN"/>
                <w14:textFill>
                  <w14:solidFill>
                    <w14:schemeClr w14:val="tx1"/>
                  </w14:solidFill>
                </w14:textFill>
              </w:rPr>
              <w:t>自然</w:t>
            </w:r>
            <w:r>
              <w:rPr>
                <w:rFonts w:hint="default" w:ascii="Times New Roman" w:hAnsi="Times New Roman" w:cs="Times New Roman"/>
                <w:color w:val="000000" w:themeColor="text1"/>
                <w:sz w:val="24"/>
                <w:szCs w:val="24"/>
                <w14:textFill>
                  <w14:solidFill>
                    <w14:schemeClr w14:val="tx1"/>
                  </w14:solidFill>
                </w14:textFill>
              </w:rPr>
              <w:t>村，总面积</w:t>
            </w:r>
            <w:r>
              <w:rPr>
                <w:rFonts w:hint="default" w:ascii="Times New Roman" w:hAnsi="Times New Roman" w:cs="Times New Roman"/>
                <w:color w:val="000000" w:themeColor="text1"/>
                <w:sz w:val="24"/>
                <w:szCs w:val="24"/>
                <w:lang w:eastAsia="zh-CN"/>
                <w14:textFill>
                  <w14:solidFill>
                    <w14:schemeClr w14:val="tx1"/>
                  </w14:solidFill>
                </w14:textFill>
              </w:rPr>
              <w:t>64.95</w:t>
            </w:r>
            <w:r>
              <w:rPr>
                <w:rFonts w:hint="default" w:ascii="Times New Roman" w:hAnsi="Times New Roman" w:cs="Times New Roman"/>
                <w:color w:val="000000" w:themeColor="text1"/>
                <w:sz w:val="24"/>
                <w:szCs w:val="24"/>
                <w14:textFill>
                  <w14:solidFill>
                    <w14:schemeClr w14:val="tx1"/>
                  </w14:solidFill>
                </w14:textFill>
              </w:rPr>
              <w:t>公顷；</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规划范围的控制综合考虑了</w:t>
            </w:r>
            <w:r>
              <w:rPr>
                <w:rFonts w:hint="default" w:ascii="Times New Roman" w:hAnsi="Times New Roman" w:cs="Times New Roman"/>
                <w:color w:val="000000" w:themeColor="text1"/>
                <w:sz w:val="24"/>
                <w:szCs w:val="24"/>
                <w:lang w:eastAsia="zh-CN"/>
                <w14:textFill>
                  <w14:solidFill>
                    <w14:schemeClr w14:val="tx1"/>
                  </w14:solidFill>
                </w14:textFill>
              </w:rPr>
              <w:t>集镇</w:t>
            </w:r>
            <w:r>
              <w:rPr>
                <w:rFonts w:hint="default" w:ascii="Times New Roman" w:hAnsi="Times New Roman" w:cs="Times New Roman"/>
                <w:color w:val="000000" w:themeColor="text1"/>
                <w:sz w:val="24"/>
                <w:szCs w:val="24"/>
                <w14:textFill>
                  <w14:solidFill>
                    <w14:schemeClr w14:val="tx1"/>
                  </w14:solidFill>
                </w14:textFill>
              </w:rPr>
              <w:t>与黄金公路的有机衔接及建设用地规模与发展方向的合理确定：</w:t>
            </w:r>
            <w:r>
              <w:rPr>
                <w:rFonts w:hint="default" w:ascii="Times New Roman" w:hAnsi="Times New Roman" w:cs="Times New Roman"/>
                <w:color w:val="000000" w:themeColor="text1"/>
                <w:sz w:val="24"/>
                <w:szCs w:val="24"/>
                <w:lang w:eastAsia="zh-CN"/>
                <w14:textFill>
                  <w14:solidFill>
                    <w14:schemeClr w14:val="tx1"/>
                  </w14:solidFill>
                </w14:textFill>
              </w:rPr>
              <w:t>沘江以东，充分利用能用之地，以月七坝的开发和长春村委会东侧缓坡地的利用为主，</w:t>
            </w:r>
            <w:r>
              <w:rPr>
                <w:rFonts w:hint="default" w:ascii="Times New Roman" w:hAnsi="Times New Roman" w:cs="Times New Roman"/>
                <w:color w:val="000000" w:themeColor="text1"/>
                <w:sz w:val="24"/>
                <w:szCs w:val="24"/>
                <w14:textFill>
                  <w14:solidFill>
                    <w14:schemeClr w14:val="tx1"/>
                  </w14:solidFill>
                </w14:textFill>
              </w:rPr>
              <w:t>是使</w:t>
            </w:r>
            <w:r>
              <w:rPr>
                <w:rFonts w:hint="default" w:ascii="Times New Roman" w:hAnsi="Times New Roman" w:cs="Times New Roman"/>
                <w:color w:val="000000" w:themeColor="text1"/>
                <w:sz w:val="24"/>
                <w:szCs w:val="24"/>
                <w:lang w:eastAsia="zh-CN"/>
                <w14:textFill>
                  <w14:solidFill>
                    <w14:schemeClr w14:val="tx1"/>
                  </w14:solidFill>
                </w14:textFill>
              </w:rPr>
              <w:t>集</w:t>
            </w:r>
            <w:r>
              <w:rPr>
                <w:rFonts w:hint="default" w:ascii="Times New Roman" w:hAnsi="Times New Roman" w:cs="Times New Roman"/>
                <w:color w:val="000000" w:themeColor="text1"/>
                <w:sz w:val="24"/>
                <w:szCs w:val="24"/>
                <w14:textFill>
                  <w14:solidFill>
                    <w14:schemeClr w14:val="tx1"/>
                  </w14:solidFill>
                </w14:textFill>
              </w:rPr>
              <w:t>镇</w:t>
            </w:r>
            <w:r>
              <w:rPr>
                <w:rFonts w:hint="default" w:ascii="Times New Roman" w:hAnsi="Times New Roman" w:cs="Times New Roman"/>
                <w:color w:val="000000" w:themeColor="text1"/>
                <w:sz w:val="24"/>
                <w:szCs w:val="24"/>
                <w:lang w:eastAsia="zh-CN"/>
                <w14:textFill>
                  <w14:solidFill>
                    <w14:schemeClr w14:val="tx1"/>
                  </w14:solidFill>
                </w14:textFill>
              </w:rPr>
              <w:t>用地布局</w:t>
            </w:r>
            <w:r>
              <w:rPr>
                <w:rFonts w:hint="default" w:ascii="Times New Roman" w:hAnsi="Times New Roman" w:cs="Times New Roman"/>
                <w:color w:val="000000" w:themeColor="text1"/>
                <w:sz w:val="24"/>
                <w:szCs w:val="24"/>
                <w14:textFill>
                  <w14:solidFill>
                    <w14:schemeClr w14:val="tx1"/>
                  </w14:solidFill>
                </w14:textFill>
              </w:rPr>
              <w:t>趋于合理及功能配置得当的有力保证；</w:t>
            </w:r>
            <w:r>
              <w:rPr>
                <w:rFonts w:hint="default" w:ascii="Times New Roman" w:hAnsi="Times New Roman" w:cs="Times New Roman"/>
                <w:color w:val="000000" w:themeColor="text1"/>
                <w:sz w:val="24"/>
                <w:szCs w:val="24"/>
                <w:lang w:eastAsia="zh-CN"/>
                <w14:textFill>
                  <w14:solidFill>
                    <w14:schemeClr w14:val="tx1"/>
                  </w14:solidFill>
                </w14:textFill>
              </w:rPr>
              <w:t>沘江以西，山高坡陡</w:t>
            </w:r>
            <w:r>
              <w:rPr>
                <w:rFonts w:hint="default" w:ascii="Times New Roman" w:hAnsi="Times New Roman" w:cs="Times New Roman"/>
                <w:color w:val="000000" w:themeColor="text1"/>
                <w:sz w:val="24"/>
                <w:szCs w:val="24"/>
                <w14:textFill>
                  <w14:solidFill>
                    <w14:schemeClr w14:val="tx1"/>
                  </w14:solidFill>
                </w14:textFill>
              </w:rPr>
              <w:t>，无建设用地发展余地</w:t>
            </w:r>
            <w:r>
              <w:rPr>
                <w:rFonts w:hint="default" w:ascii="Times New Roman" w:hAnsi="Times New Roman" w:cs="Times New Roman"/>
                <w:color w:val="000000" w:themeColor="text1"/>
                <w:sz w:val="24"/>
                <w:szCs w:val="24"/>
                <w:lang w:eastAsia="zh-CN"/>
                <w14:textFill>
                  <w14:solidFill>
                    <w14:schemeClr w14:val="tx1"/>
                  </w14:solidFill>
                </w14:textFill>
              </w:rPr>
              <w:t>，以西山脚道路沿线的</w:t>
            </w:r>
            <w:r>
              <w:rPr>
                <w:rFonts w:hint="default" w:ascii="Times New Roman" w:hAnsi="Times New Roman" w:cs="Times New Roman"/>
                <w:color w:val="000000" w:themeColor="text1"/>
                <w:sz w:val="24"/>
                <w:szCs w:val="24"/>
                <w14:textFill>
                  <w14:solidFill>
                    <w14:schemeClr w14:val="tx1"/>
                  </w14:solidFill>
                </w14:textFill>
              </w:rPr>
              <w:t>历史形成和现状发展实际</w:t>
            </w:r>
            <w:r>
              <w:rPr>
                <w:rFonts w:hint="default" w:ascii="Times New Roman" w:hAnsi="Times New Roman" w:cs="Times New Roman"/>
                <w:color w:val="000000" w:themeColor="text1"/>
                <w:sz w:val="24"/>
                <w:szCs w:val="24"/>
                <w:lang w:eastAsia="zh-CN"/>
                <w14:textFill>
                  <w14:solidFill>
                    <w14:schemeClr w14:val="tx1"/>
                  </w14:solidFill>
                </w14:textFill>
              </w:rPr>
              <w:t>来界定</w:t>
            </w:r>
            <w:r>
              <w:rPr>
                <w:rFonts w:hint="default" w:ascii="Times New Roman" w:hAnsi="Times New Roman" w:cs="Times New Roman"/>
                <w:color w:val="000000" w:themeColor="text1"/>
                <w:sz w:val="24"/>
                <w:szCs w:val="24"/>
                <w14:textFill>
                  <w14:solidFill>
                    <w14:schemeClr w14:val="tx1"/>
                  </w14:solidFill>
                </w14:textFill>
              </w:rPr>
              <w:t>；南侧控制到</w:t>
            </w:r>
            <w:r>
              <w:rPr>
                <w:rFonts w:hint="default" w:ascii="Times New Roman" w:hAnsi="Times New Roman" w:cs="Times New Roman"/>
                <w:color w:val="000000" w:themeColor="text1"/>
                <w:sz w:val="24"/>
                <w:szCs w:val="24"/>
                <w:lang w:eastAsia="zh-CN"/>
                <w14:textFill>
                  <w14:solidFill>
                    <w14:schemeClr w14:val="tx1"/>
                  </w14:solidFill>
                </w14:textFill>
              </w:rPr>
              <w:t>下江桥以南的地形图测量范围</w:t>
            </w:r>
            <w:r>
              <w:rPr>
                <w:rFonts w:hint="default" w:ascii="Times New Roman" w:hAnsi="Times New Roman" w:cs="Times New Roman"/>
                <w:color w:val="000000" w:themeColor="text1"/>
                <w:sz w:val="24"/>
                <w:szCs w:val="24"/>
                <w14:textFill>
                  <w14:solidFill>
                    <w14:schemeClr w14:val="tx1"/>
                  </w14:solidFill>
                </w14:textFill>
              </w:rPr>
              <w:t>、北侧控制到</w:t>
            </w:r>
            <w:r>
              <w:rPr>
                <w:rFonts w:hint="default" w:ascii="Times New Roman" w:hAnsi="Times New Roman" w:cs="Times New Roman"/>
                <w:color w:val="000000" w:themeColor="text1"/>
                <w:sz w:val="24"/>
                <w:szCs w:val="24"/>
                <w:lang w:eastAsia="zh-CN"/>
                <w14:textFill>
                  <w14:solidFill>
                    <w14:schemeClr w14:val="tx1"/>
                  </w14:solidFill>
                </w14:textFill>
              </w:rPr>
              <w:t>上江桥以北的食用菌加工厂</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是</w:t>
            </w:r>
            <w:r>
              <w:rPr>
                <w:rFonts w:hint="default" w:ascii="Times New Roman" w:hAnsi="Times New Roman" w:cs="Times New Roman"/>
                <w:color w:val="000000" w:themeColor="text1"/>
                <w:sz w:val="24"/>
                <w:szCs w:val="24"/>
                <w14:textFill>
                  <w14:solidFill>
                    <w14:schemeClr w14:val="tx1"/>
                  </w14:solidFill>
                </w14:textFill>
              </w:rPr>
              <w:t>考虑有效缓解</w:t>
            </w:r>
            <w:r>
              <w:rPr>
                <w:rFonts w:hint="default" w:ascii="Times New Roman" w:hAnsi="Times New Roman" w:cs="Times New Roman"/>
                <w:color w:val="000000" w:themeColor="text1"/>
                <w:sz w:val="24"/>
                <w:szCs w:val="24"/>
                <w:lang w:eastAsia="zh-CN"/>
                <w14:textFill>
                  <w14:solidFill>
                    <w14:schemeClr w14:val="tx1"/>
                  </w14:solidFill>
                </w14:textFill>
              </w:rPr>
              <w:t>集</w:t>
            </w:r>
            <w:r>
              <w:rPr>
                <w:rFonts w:hint="default" w:ascii="Times New Roman" w:hAnsi="Times New Roman" w:cs="Times New Roman"/>
                <w:color w:val="000000" w:themeColor="text1"/>
                <w:sz w:val="24"/>
                <w:szCs w:val="24"/>
                <w14:textFill>
                  <w14:solidFill>
                    <w14:schemeClr w14:val="tx1"/>
                  </w14:solidFill>
                </w14:textFill>
              </w:rPr>
              <w:t>镇沿过境交通干线带状延伸的现状</w:t>
            </w:r>
            <w:r>
              <w:rPr>
                <w:rFonts w:hint="default"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ottom"/>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镇村布局和发展战略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bottom"/>
              <w:rPr>
                <w:rFonts w:hint="default" w:ascii="Times New Roman" w:hAnsi="Times New Roman" w:cs="Times New Roman"/>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①</w:t>
            </w:r>
            <w:r>
              <w:rPr>
                <w:rFonts w:hint="default" w:ascii="Times New Roman" w:hAnsi="Times New Roman" w:cs="Times New Roman"/>
                <w:color w:val="000000" w:themeColor="text1"/>
                <w:sz w:val="24"/>
                <w:szCs w:val="24"/>
                <w14:textFill>
                  <w14:solidFill>
                    <w14:schemeClr w14:val="tx1"/>
                  </w14:solidFill>
                </w14:textFill>
              </w:rPr>
              <w:t>镇村布局</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强化中心、重视外围、城乡结合、共同发展。</w:t>
            </w:r>
            <w:r>
              <w:rPr>
                <w:rFonts w:hint="default" w:ascii="Times New Roman" w:hAnsi="Times New Roman" w:cs="Times New Roman"/>
                <w:color w:val="000000" w:themeColor="text1"/>
                <w:spacing w:val="0"/>
                <w:sz w:val="24"/>
                <w:szCs w:val="24"/>
                <w14:textFill>
                  <w14:solidFill>
                    <w14:schemeClr w14:val="tx1"/>
                  </w14:solidFill>
                </w14:textFill>
              </w:rPr>
              <w:t>根据</w:t>
            </w:r>
            <w:r>
              <w:rPr>
                <w:rFonts w:hint="default" w:ascii="Times New Roman" w:hAnsi="Times New Roman" w:cs="Times New Roman"/>
                <w:color w:val="000000" w:themeColor="text1"/>
                <w:spacing w:val="0"/>
                <w:sz w:val="24"/>
                <w:szCs w:val="24"/>
                <w:lang w:eastAsia="zh-CN"/>
                <w14:textFill>
                  <w14:solidFill>
                    <w14:schemeClr w14:val="tx1"/>
                  </w14:solidFill>
                </w14:textFill>
              </w:rPr>
              <w:t>长新乡</w:t>
            </w:r>
            <w:r>
              <w:rPr>
                <w:rFonts w:hint="default" w:ascii="Times New Roman" w:hAnsi="Times New Roman" w:cs="Times New Roman"/>
                <w:color w:val="000000" w:themeColor="text1"/>
                <w:spacing w:val="0"/>
                <w:sz w:val="24"/>
                <w:szCs w:val="24"/>
                <w14:textFill>
                  <w14:solidFill>
                    <w14:schemeClr w14:val="tx1"/>
                  </w14:solidFill>
                </w14:textFill>
              </w:rPr>
              <w:t>国民经济和社会发展规划，</w:t>
            </w:r>
            <w:r>
              <w:rPr>
                <w:rFonts w:hint="default" w:ascii="Times New Roman" w:hAnsi="Times New Roman" w:cs="Times New Roman"/>
                <w:color w:val="000000" w:themeColor="text1"/>
                <w:sz w:val="24"/>
                <w:szCs w:val="24"/>
                <w14:textFill>
                  <w14:solidFill>
                    <w14:schemeClr w14:val="tx1"/>
                  </w14:solidFill>
                </w14:textFill>
              </w:rPr>
              <w:t>乡域镇村</w:t>
            </w:r>
            <w:r>
              <w:rPr>
                <w:rFonts w:hint="default" w:ascii="Times New Roman" w:hAnsi="Times New Roman" w:cs="Times New Roman"/>
                <w:color w:val="000000" w:themeColor="text1"/>
                <w:spacing w:val="0"/>
                <w:sz w:val="24"/>
                <w:szCs w:val="24"/>
                <w14:textFill>
                  <w14:solidFill>
                    <w14:schemeClr w14:val="tx1"/>
                  </w14:solidFill>
                </w14:textFill>
              </w:rPr>
              <w:t>形成</w:t>
            </w:r>
            <w:r>
              <w:rPr>
                <w:rFonts w:hint="default" w:ascii="Times New Roman" w:hAnsi="Times New Roman" w:cs="Times New Roman"/>
                <w:color w:val="000000" w:themeColor="text1"/>
                <w:spacing w:val="0"/>
                <w:sz w:val="24"/>
                <w:szCs w:val="24"/>
                <w:lang w:eastAsia="zh-CN"/>
                <w14:textFill>
                  <w14:solidFill>
                    <w14:schemeClr w14:val="tx1"/>
                  </w14:solidFill>
                </w14:textFill>
              </w:rPr>
              <w:t>沿公路交通线“串珠式”的镇村发展轴“环”、</w:t>
            </w:r>
            <w:r>
              <w:rPr>
                <w:rFonts w:hint="default" w:ascii="Times New Roman" w:hAnsi="Times New Roman" w:cs="Times New Roman"/>
                <w:color w:val="000000" w:themeColor="text1"/>
                <w:sz w:val="24"/>
                <w:szCs w:val="24"/>
                <w14:textFill>
                  <w14:solidFill>
                    <w14:schemeClr w14:val="tx1"/>
                  </w14:solidFill>
                </w14:textFill>
              </w:rPr>
              <w:t>以海拔进行划分的两个经济带</w:t>
            </w:r>
            <w:r>
              <w:rPr>
                <w:rFonts w:hint="default" w:ascii="Times New Roman" w:hAnsi="Times New Roman" w:cs="Times New Roman"/>
                <w:color w:val="000000" w:themeColor="text1"/>
                <w:spacing w:val="0"/>
                <w:sz w:val="24"/>
                <w:szCs w:val="24"/>
                <w14:textFill>
                  <w14:solidFill>
                    <w14:schemeClr w14:val="tx1"/>
                  </w14:solidFill>
                </w14:textFill>
              </w:rPr>
              <w:t>、以</w:t>
            </w:r>
            <w:r>
              <w:rPr>
                <w:rFonts w:hint="default" w:ascii="Times New Roman" w:hAnsi="Times New Roman" w:cs="Times New Roman"/>
                <w:color w:val="000000" w:themeColor="text1"/>
                <w:spacing w:val="0"/>
                <w:sz w:val="24"/>
                <w:szCs w:val="24"/>
                <w:lang w:eastAsia="zh-CN"/>
                <w14:textFill>
                  <w14:solidFill>
                    <w14:schemeClr w14:val="tx1"/>
                  </w14:solidFill>
                </w14:textFill>
              </w:rPr>
              <w:t>集</w:t>
            </w:r>
            <w:r>
              <w:rPr>
                <w:rFonts w:hint="default" w:ascii="Times New Roman" w:hAnsi="Times New Roman" w:cs="Times New Roman"/>
                <w:color w:val="000000" w:themeColor="text1"/>
                <w:spacing w:val="0"/>
                <w:sz w:val="24"/>
                <w:szCs w:val="24"/>
                <w14:textFill>
                  <w14:solidFill>
                    <w14:schemeClr w14:val="tx1"/>
                  </w14:solidFill>
                </w14:textFill>
              </w:rPr>
              <w:t>镇为核心的“一</w:t>
            </w:r>
            <w:r>
              <w:rPr>
                <w:rFonts w:hint="default" w:ascii="Times New Roman" w:hAnsi="Times New Roman" w:cs="Times New Roman"/>
                <w:color w:val="000000" w:themeColor="text1"/>
                <w:spacing w:val="0"/>
                <w:sz w:val="24"/>
                <w:szCs w:val="24"/>
                <w:lang w:eastAsia="zh-CN"/>
                <w14:textFill>
                  <w14:solidFill>
                    <w14:schemeClr w14:val="tx1"/>
                  </w14:solidFill>
                </w14:textFill>
              </w:rPr>
              <w:t>环</w:t>
            </w:r>
            <w:r>
              <w:rPr>
                <w:rFonts w:hint="default" w:ascii="Times New Roman" w:hAnsi="Times New Roman" w:cs="Times New Roman"/>
                <w:color w:val="000000" w:themeColor="text1"/>
                <w:spacing w:val="0"/>
                <w:sz w:val="24"/>
                <w:szCs w:val="24"/>
                <w14:textFill>
                  <w14:solidFill>
                    <w14:schemeClr w14:val="tx1"/>
                  </w14:solidFill>
                </w14:textFill>
              </w:rPr>
              <w:t>、两带、一个中心”的空间发展形态。</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jc w:val="both"/>
              <w:textAlignment w:val="bottom"/>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t>发展战略</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极化中心、点轴发展、区域带动、网络演进</w:t>
            </w:r>
            <w:r>
              <w:rPr>
                <w:rFonts w:hint="eastAsia" w:ascii="Times New Roman" w:hAnsi="Times New Roman"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eastAsia" w:ascii="Times New Roman" w:hAnsi="Times New Roman" w:cs="Times New Roman" w:eastAsiaTheme="minorEastAsia"/>
                <w:color w:val="000000" w:themeColor="text1"/>
                <w:spacing w:val="0"/>
                <w:sz w:val="24"/>
                <w:szCs w:val="24"/>
                <w:lang w:eastAsia="zh-CN"/>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综合交通规划</w:t>
            </w:r>
            <w:r>
              <w:rPr>
                <w:rFonts w:hint="eastAsia" w:ascii="Times New Roman" w:hAnsi="Times New Roman" w:cs="Times New Roman"/>
                <w:color w:val="000000" w:themeColor="text1"/>
                <w:spacing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1</w:t>
            </w: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规划目标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bottom"/>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①建成以主干线、主通道、</w:t>
            </w:r>
            <w:r>
              <w:rPr>
                <w:rFonts w:hint="default" w:ascii="Times New Roman" w:hAnsi="Times New Roman" w:cs="Times New Roman"/>
                <w:color w:val="000000" w:themeColor="text1"/>
                <w:sz w:val="24"/>
                <w:szCs w:val="24"/>
                <w:lang w:eastAsia="zh-CN"/>
                <w14:textFill>
                  <w14:solidFill>
                    <w14:schemeClr w14:val="tx1"/>
                  </w14:solidFill>
                </w14:textFill>
              </w:rPr>
              <w:t>集</w:t>
            </w:r>
            <w:r>
              <w:rPr>
                <w:rFonts w:hint="default" w:ascii="Times New Roman" w:hAnsi="Times New Roman" w:cs="Times New Roman"/>
                <w:color w:val="000000" w:themeColor="text1"/>
                <w:sz w:val="24"/>
                <w:szCs w:val="24"/>
                <w14:textFill>
                  <w14:solidFill>
                    <w14:schemeClr w14:val="tx1"/>
                  </w14:solidFill>
                </w14:textFill>
              </w:rPr>
              <w:t>镇为核心的安全、快捷、经济、高效的</w:t>
            </w:r>
            <w:r>
              <w:rPr>
                <w:rFonts w:hint="eastAsia" w:ascii="Times New Roman" w:hAnsi="Times New Roman" w:cs="Times New Roman"/>
                <w:color w:val="000000" w:themeColor="text1"/>
                <w:sz w:val="24"/>
                <w:szCs w:val="24"/>
                <w:lang w:eastAsia="zh-CN"/>
                <w14:textFill>
                  <w14:solidFill>
                    <w14:schemeClr w14:val="tx1"/>
                  </w14:solidFill>
                </w14:textFill>
              </w:rPr>
              <w:t>综合交通运输体系</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②形成以省道黄金公路为主，县、乡公路为辅的交通网络。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rPr>
                <w:rFonts w:hint="default" w:ascii="Times New Roman" w:hAnsi="Times New Roman" w:cs="Times New Roman"/>
                <w:color w:val="000000" w:themeColor="text1"/>
                <w:spacing w:val="0"/>
                <w:sz w:val="24"/>
                <w:szCs w:val="24"/>
                <w14:textFill>
                  <w14:solidFill>
                    <w14:schemeClr w14:val="tx1"/>
                  </w14:solidFill>
                </w14:textFill>
              </w:rPr>
            </w:pP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2</w:t>
            </w:r>
            <w:r>
              <w:rPr>
                <w:rFonts w:hint="eastAsia" w:ascii="Times New Roman" w:hAnsi="Times New Roman" w:cs="Times New Roman"/>
                <w:color w:val="000000" w:themeColor="text1"/>
                <w:spacing w:val="0"/>
                <w:sz w:val="24"/>
                <w:szCs w:val="24"/>
                <w:lang w:eastAsia="zh-CN"/>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规划内容要点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在实现全面通公路的基础上，</w:t>
            </w:r>
            <w:r>
              <w:rPr>
                <w:rFonts w:hint="default" w:ascii="Times New Roman" w:hAnsi="Times New Roman" w:cs="Times New Roman"/>
                <w:color w:val="000000" w:themeColor="text1"/>
                <w:sz w:val="24"/>
                <w:szCs w:val="24"/>
                <w14:textFill>
                  <w14:solidFill>
                    <w14:schemeClr w14:val="tx1"/>
                  </w14:solidFill>
                </w14:textFill>
              </w:rPr>
              <w:t>加快乡域内县、乡公路建设，</w:t>
            </w:r>
            <w:r>
              <w:rPr>
                <w:rFonts w:hint="default" w:ascii="Times New Roman" w:hAnsi="Times New Roman" w:cs="Times New Roman"/>
                <w:color w:val="000000" w:themeColor="text1"/>
                <w:spacing w:val="0"/>
                <w:sz w:val="24"/>
                <w:szCs w:val="24"/>
                <w14:textFill>
                  <w14:solidFill>
                    <w14:schemeClr w14:val="tx1"/>
                  </w14:solidFill>
                </w14:textFill>
              </w:rPr>
              <w:t>重在提高道路等级和通车里程，</w:t>
            </w:r>
            <w:r>
              <w:rPr>
                <w:rFonts w:hint="default" w:ascii="Times New Roman" w:hAnsi="Times New Roman" w:cs="Times New Roman"/>
                <w:color w:val="000000" w:themeColor="text1"/>
                <w:sz w:val="24"/>
                <w:szCs w:val="24"/>
                <w14:textFill>
                  <w14:solidFill>
                    <w14:schemeClr w14:val="tx1"/>
                  </w14:solidFill>
                </w14:textFill>
              </w:rPr>
              <w:t>主要路段高等级化、县乡公路标准化，</w:t>
            </w:r>
            <w:r>
              <w:rPr>
                <w:rFonts w:hint="default" w:ascii="Times New Roman" w:hAnsi="Times New Roman" w:cs="Times New Roman"/>
                <w:color w:val="000000" w:themeColor="text1"/>
                <w:spacing w:val="0"/>
                <w:sz w:val="24"/>
                <w:szCs w:val="24"/>
                <w14:textFill>
                  <w14:solidFill>
                    <w14:schemeClr w14:val="tx1"/>
                  </w14:solidFill>
                </w14:textFill>
              </w:rPr>
              <w:t>并抓好公路的</w:t>
            </w:r>
            <w:r>
              <w:rPr>
                <w:rFonts w:hint="eastAsia" w:ascii="Times New Roman" w:hAnsi="Times New Roman" w:cs="Times New Roman"/>
                <w:color w:val="000000" w:themeColor="text1"/>
                <w:spacing w:val="0"/>
                <w:sz w:val="24"/>
                <w:szCs w:val="24"/>
                <w:lang w:val="en-US" w:eastAsia="zh-CN"/>
                <w14:textFill>
                  <w14:solidFill>
                    <w14:schemeClr w14:val="tx1"/>
                  </w14:solidFill>
                </w14:textFill>
              </w:rPr>
              <w:t>管</w:t>
            </w:r>
            <w:r>
              <w:rPr>
                <w:rFonts w:hint="default" w:ascii="Times New Roman" w:hAnsi="Times New Roman" w:cs="Times New Roman"/>
                <w:color w:val="000000" w:themeColor="text1"/>
                <w:spacing w:val="0"/>
                <w:sz w:val="24"/>
                <w:szCs w:val="24"/>
                <w14:textFill>
                  <w14:solidFill>
                    <w14:schemeClr w14:val="tx1"/>
                  </w14:solidFill>
                </w14:textFill>
              </w:rPr>
              <w:t>理和维护，保证常年无阻，使各中心村与基层村之间有方便的交通联系，</w:t>
            </w:r>
            <w:r>
              <w:rPr>
                <w:rFonts w:hint="default" w:ascii="Times New Roman" w:hAnsi="Times New Roman" w:cs="Times New Roman"/>
                <w:color w:val="000000" w:themeColor="text1"/>
                <w:sz w:val="24"/>
                <w:szCs w:val="24"/>
                <w14:textFill>
                  <w14:solidFill>
                    <w14:schemeClr w14:val="tx1"/>
                  </w14:solidFill>
                </w14:textFill>
              </w:rPr>
              <w:t>完善乡域交通体系。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baseline"/>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相符性分析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baseline"/>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项目于</w:t>
            </w:r>
            <w:r>
              <w:rPr>
                <w:rFonts w:hint="default" w:ascii="Times New Roman" w:hAnsi="Times New Roman" w:eastAsia="宋体" w:cs="Times New Roman"/>
                <w:color w:val="000000" w:themeColor="text1"/>
                <w:kern w:val="0"/>
                <w:sz w:val="24"/>
                <w:szCs w:val="24"/>
                <w:lang w:bidi="ar"/>
                <w14:textFill>
                  <w14:solidFill>
                    <w14:schemeClr w14:val="tx1"/>
                  </w14:solidFill>
                </w14:textFill>
              </w:rPr>
              <w:t>202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日</w:t>
            </w:r>
            <w:r>
              <w:rPr>
                <w:rFonts w:hint="default" w:ascii="Times New Roman" w:hAnsi="Times New Roman" w:eastAsia="宋体" w:cs="Times New Roman"/>
                <w:color w:val="000000" w:themeColor="text1"/>
                <w:sz w:val="24"/>
                <w:szCs w:val="24"/>
                <w14:textFill>
                  <w14:solidFill>
                    <w14:schemeClr w14:val="tx1"/>
                  </w14:solidFill>
                </w14:textFill>
              </w:rPr>
              <w:t>取得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云龙</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县发展和改革局</w:t>
            </w:r>
            <w:r>
              <w:rPr>
                <w:rFonts w:hint="default" w:ascii="Times New Roman" w:hAnsi="Times New Roman" w:eastAsia="宋体" w:cs="Times New Roman"/>
                <w:color w:val="000000" w:themeColor="text1"/>
                <w:sz w:val="24"/>
                <w:szCs w:val="24"/>
                <w14:textFill>
                  <w14:solidFill>
                    <w14:schemeClr w14:val="tx1"/>
                  </w14:solidFill>
                </w14:textFill>
              </w:rPr>
              <w:t>核发的投资项目备案证，项目代码：2411-532929-04-05-894792。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详见附件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项目是云龙至永平高速公路的配套砂石料加工点，云龙至永平高速公路的建设</w:t>
            </w: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属于综合交通建设，城市基础建设，高速公路的建设</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能够促进云龙县</w:t>
            </w: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长新乡</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的发展，则本项目作为附属项目，也能够促进</w:t>
            </w:r>
            <w:r>
              <w:rPr>
                <w:rFonts w:hint="eastAsia"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地区</w:t>
            </w: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规划发展。</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所以项目的建设符合规划。</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lang w:val="en-US" w:eastAsia="zh-CN"/>
                <w14:textFill>
                  <w14:solidFill>
                    <w14:schemeClr w14:val="tx1"/>
                  </w14:solidFill>
                </w14:textFill>
              </w:rPr>
              <w:t>、与《大理州“十四五”生态环境保护规划》的符合性分析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000000" w:themeColor="text1"/>
                <w:sz w:val="24"/>
                <w:shd w:val="clear" w:color="auto" w:fill="FFFFFF" w:themeFill="background1"/>
                <w14:textFill>
                  <w14:solidFill>
                    <w14:schemeClr w14:val="tx1"/>
                  </w14:solidFill>
                </w14:textFill>
              </w:rPr>
            </w:pPr>
            <w:r>
              <w:rPr>
                <w:rFonts w:hint="default" w:ascii="Times New Roman" w:hAnsi="Times New Roman" w:cs="Times New Roman"/>
                <w:color w:val="000000" w:themeColor="text1"/>
                <w:sz w:val="24"/>
                <w:shd w:val="clear" w:color="auto" w:fill="FFFFFF" w:themeFill="background1"/>
                <w:lang w:val="en-US" w:eastAsia="zh-CN"/>
                <w14:textFill>
                  <w14:solidFill>
                    <w14:schemeClr w14:val="tx1"/>
                  </w14:solidFill>
                </w14:textFill>
              </w:rPr>
              <w:t>大理白族自治州人</w:t>
            </w:r>
            <w:r>
              <w:rPr>
                <w:rFonts w:hint="default" w:ascii="Times New Roman" w:hAnsi="Times New Roman" w:cs="Times New Roman"/>
                <w:color w:val="000000" w:themeColor="text1"/>
                <w:sz w:val="24"/>
                <w:shd w:val="clear" w:color="auto" w:fill="FFFFFF" w:themeFill="background1"/>
                <w14:textFill>
                  <w14:solidFill>
                    <w14:schemeClr w14:val="tx1"/>
                  </w14:solidFill>
                </w14:textFill>
              </w:rPr>
              <w:t>民政府于2022年8月22日发布《大理州“十四五”生态环境保护规划》，本项目与该规划的符合性分析详见表1-</w:t>
            </w:r>
            <w:r>
              <w:rPr>
                <w:rFonts w:hint="eastAsia" w:ascii="Times New Roman" w:hAnsi="Times New Roman" w:cs="Times New Roman"/>
                <w:color w:val="000000" w:themeColor="text1"/>
                <w:sz w:val="24"/>
                <w:shd w:val="clear" w:color="auto" w:fill="FFFFFF" w:themeFill="background1"/>
                <w:lang w:val="en-US" w:eastAsia="zh-CN"/>
                <w14:textFill>
                  <w14:solidFill>
                    <w14:schemeClr w14:val="tx1"/>
                  </w14:solidFill>
                </w14:textFill>
              </w:rPr>
              <w:t>2</w:t>
            </w:r>
            <w:r>
              <w:rPr>
                <w:rFonts w:hint="default" w:ascii="Times New Roman" w:hAnsi="Times New Roman" w:cs="Times New Roman"/>
                <w:color w:val="000000" w:themeColor="text1"/>
                <w:sz w:val="24"/>
                <w:shd w:val="clear" w:color="auto" w:fill="FFFFFF" w:themeFill="background1"/>
                <w14:textFill>
                  <w14:solidFill>
                    <w14:schemeClr w14:val="tx1"/>
                  </w14:solidFill>
                </w14:textFill>
              </w:rPr>
              <w:t>。</w:t>
            </w:r>
          </w:p>
          <w:p>
            <w:pPr>
              <w:pStyle w:val="8"/>
              <w:keepNex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表1-</w:t>
            </w:r>
            <w:r>
              <w:rPr>
                <w:rFonts w:hint="eastAsia" w:ascii="Times New Roman" w:hAnsi="Times New Roman" w:eastAsia="宋体" w:cs="Times New Roman"/>
                <w:b/>
                <w:color w:val="000000" w:themeColor="text1"/>
                <w:lang w:val="en-US" w:eastAsia="zh-CN"/>
                <w14:textFill>
                  <w14:solidFill>
                    <w14:schemeClr w14:val="tx1"/>
                  </w14:solidFill>
                </w14:textFill>
              </w:rPr>
              <w:t>2</w:t>
            </w:r>
            <w:r>
              <w:rPr>
                <w:rFonts w:ascii="Times New Roman" w:hAnsi="Times New Roman" w:eastAsia="宋体" w:cs="Times New Roman"/>
                <w:b/>
                <w:color w:val="000000" w:themeColor="text1"/>
                <w14:textFill>
                  <w14:solidFill>
                    <w14:schemeClr w14:val="tx1"/>
                  </w14:solidFill>
                </w14:textFill>
              </w:rPr>
              <w:t>与《大理州“十四五”生态环境保护规划》的相符性</w:t>
            </w:r>
          </w:p>
          <w:tbl>
            <w:tblPr>
              <w:tblStyle w:val="26"/>
              <w:tblW w:w="7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987"/>
              <w:gridCol w:w="2225"/>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4406" w:type="dxa"/>
                  <w:gridSpan w:val="2"/>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《大理州“十四五”生态环境保护规划》相关要求</w:t>
                  </w:r>
                </w:p>
              </w:tc>
              <w:tc>
                <w:tcPr>
                  <w:tcW w:w="2225" w:type="dxa"/>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项目情况</w:t>
                  </w:r>
                </w:p>
              </w:tc>
              <w:tc>
                <w:tcPr>
                  <w:tcW w:w="608" w:type="dxa"/>
                  <w:vAlign w:val="center"/>
                </w:tcPr>
                <w:p>
                  <w:pPr>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8"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推进产业、能源、运输结构优化调整。巩固城市建成区及周边重污染行业搬迁、关停淘汰、转型升级成效，逐步实现州级、县（市）政府所在地城市建成区及周边无重污染企业。推动实施重点行业绿色转型、产业集群和园区升级改造、产业布局优化调整、工业炉窑深度治理、VOC，全过程综合整治。启动非电行业超低排放改造，推进可再生能源、天然气、电力等替代燃煤工程。推动“增气减煤”统筹联动，进一步降低煤炭消费比例。</w:t>
                  </w:r>
                </w:p>
              </w:tc>
              <w:tc>
                <w:tcPr>
                  <w:tcW w:w="2225" w:type="dxa"/>
                  <w:vMerge w:val="restar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本项目的供能方式为</w:t>
                  </w:r>
                  <w:r>
                    <w:rPr>
                      <w:rFonts w:hint="default" w:ascii="Times New Roman" w:hAnsi="Times New Roman" w:cs="Times New Roman"/>
                      <w:color w:val="000000" w:themeColor="text1"/>
                      <w:sz w:val="21"/>
                      <w:szCs w:val="21"/>
                      <w:lang w:val="en-US" w:eastAsia="zh-CN"/>
                      <w14:textFill>
                        <w14:solidFill>
                          <w14:schemeClr w14:val="tx1"/>
                        </w14:solidFill>
                      </w14:textFill>
                    </w:rPr>
                    <w:t>电</w:t>
                  </w:r>
                  <w:r>
                    <w:rPr>
                      <w:rFonts w:hint="default" w:ascii="Times New Roman" w:hAnsi="Times New Roman" w:cs="Times New Roman"/>
                      <w:color w:val="000000" w:themeColor="text1"/>
                      <w:sz w:val="21"/>
                      <w:szCs w:val="21"/>
                      <w14:textFill>
                        <w14:solidFill>
                          <w14:schemeClr w14:val="tx1"/>
                        </w14:solidFill>
                      </w14:textFill>
                    </w:rPr>
                    <w:t>，砂料加工工序将采用</w:t>
                  </w:r>
                  <w:r>
                    <w:rPr>
                      <w:rFonts w:hint="default" w:ascii="Times New Roman" w:hAnsi="Times New Roman" w:cs="Times New Roman"/>
                      <w:color w:val="000000" w:themeColor="text1"/>
                      <w:sz w:val="21"/>
                      <w:szCs w:val="21"/>
                      <w:lang w:val="en-US" w:eastAsia="zh-CN"/>
                      <w14:textFill>
                        <w14:solidFill>
                          <w14:schemeClr w14:val="tx1"/>
                        </w14:solidFill>
                      </w14:textFill>
                    </w:rPr>
                    <w:t>电</w:t>
                  </w:r>
                  <w:r>
                    <w:rPr>
                      <w:rFonts w:hint="default" w:ascii="Times New Roman" w:hAnsi="Times New Roman" w:cs="Times New Roman"/>
                      <w:color w:val="000000" w:themeColor="text1"/>
                      <w:sz w:val="21"/>
                      <w:szCs w:val="21"/>
                      <w14:textFill>
                        <w14:solidFill>
                          <w14:schemeClr w14:val="tx1"/>
                        </w14:solidFill>
                      </w14:textFill>
                    </w:rPr>
                    <w:t>供</w:t>
                  </w:r>
                  <w:r>
                    <w:rPr>
                      <w:rFonts w:hint="default" w:ascii="Times New Roman" w:hAnsi="Times New Roman" w:cs="Times New Roman"/>
                      <w:color w:val="000000" w:themeColor="text1"/>
                      <w:sz w:val="21"/>
                      <w:szCs w:val="21"/>
                      <w:lang w:val="en-US" w:eastAsia="zh-CN"/>
                      <w14:textFill>
                        <w14:solidFill>
                          <w14:schemeClr w14:val="tx1"/>
                        </w14:solidFill>
                      </w14:textFill>
                    </w:rPr>
                    <w:t>能</w:t>
                  </w:r>
                  <w:r>
                    <w:rPr>
                      <w:rFonts w:hint="default" w:ascii="Times New Roman" w:hAnsi="Times New Roman" w:cs="Times New Roman"/>
                      <w:color w:val="000000" w:themeColor="text1"/>
                      <w:sz w:val="21"/>
                      <w:szCs w:val="21"/>
                      <w14:textFill>
                        <w14:solidFill>
                          <w14:schemeClr w14:val="tx1"/>
                        </w14:solidFill>
                      </w14:textFill>
                    </w:rPr>
                    <w:t>。</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全面整治燃煤小锅炉。加快推进“煤改气”“煤改电”工程建设。持续开展燃煤锅炉整治，全面淘汰每小时10蒸吨及以下燃煤锅炉。在供气管网不能覆盖的地区，改用电、生物质能等新能源或洁净煤，推广应用高效节能环保型锅炉。</w:t>
                  </w:r>
                </w:p>
              </w:tc>
              <w:tc>
                <w:tcPr>
                  <w:tcW w:w="2225" w:type="dxa"/>
                  <w:vMerge w:val="continue"/>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加强噪声监督管理力度。加强对工业生产、建筑施工、交通运输和社会生活等各类环境噪声的防控。严厉查处工业企业噪声排放超标扰民行为，实现工业噪声全面达标排放。</w:t>
                  </w:r>
                </w:p>
              </w:tc>
              <w:tc>
                <w:tcPr>
                  <w:tcW w:w="22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本项目生产设备底部加装了减震垫，评价提出运营期减少多台设备同时运行；定期对机械设备进行检修润滑，减少因设备老旧、磨损而产生的噪声；运输车辆减速慢行、禁止鸣笛。</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加强耕地污染源头控制。永久基本农田集中区域不得规划新建可能造成土壤污染的建设项目。</w:t>
                  </w:r>
                </w:p>
              </w:tc>
              <w:tc>
                <w:tcPr>
                  <w:tcW w:w="22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本项目位于</w:t>
                  </w:r>
                  <w:r>
                    <w:rPr>
                      <w:rFonts w:hint="default" w:ascii="Times New Roman" w:hAnsi="Times New Roman" w:cs="Times New Roman"/>
                      <w:color w:val="000000" w:themeColor="text1"/>
                      <w:sz w:val="21"/>
                      <w:szCs w:val="21"/>
                      <w:lang w:eastAsia="zh-CN"/>
                      <w14:textFill>
                        <w14:solidFill>
                          <w14:schemeClr w14:val="tx1"/>
                        </w14:solidFill>
                      </w14:textFill>
                    </w:rPr>
                    <w:t>云南省大理白族自治州云龙县长新乡龙子潭小组</w:t>
                  </w:r>
                  <w:r>
                    <w:rPr>
                      <w:rFonts w:hint="default" w:ascii="Times New Roman" w:hAnsi="Times New Roman" w:cs="Times New Roman"/>
                      <w:color w:val="000000" w:themeColor="text1"/>
                      <w:sz w:val="21"/>
                      <w:szCs w:val="21"/>
                      <w14:textFill>
                        <w14:solidFill>
                          <w14:schemeClr w14:val="tx1"/>
                        </w14:solidFill>
                      </w14:textFill>
                    </w:rPr>
                    <w:t>，项目用地为</w:t>
                  </w:r>
                  <w:r>
                    <w:rPr>
                      <w:rFonts w:hint="default" w:ascii="Times New Roman" w:hAnsi="Times New Roman" w:cs="Times New Roman"/>
                      <w:color w:val="000000" w:themeColor="text1"/>
                      <w:sz w:val="21"/>
                      <w:szCs w:val="21"/>
                      <w:lang w:val="en-US" w:eastAsia="zh-CN"/>
                      <w14:textFill>
                        <w14:solidFill>
                          <w14:schemeClr w14:val="tx1"/>
                        </w14:solidFill>
                      </w14:textFill>
                    </w:rPr>
                    <w:t>高速公路建设</w:t>
                  </w:r>
                  <w:r>
                    <w:rPr>
                      <w:rFonts w:hint="default" w:ascii="Times New Roman" w:hAnsi="Times New Roman" w:cs="Times New Roman"/>
                      <w:color w:val="000000" w:themeColor="text1"/>
                      <w:sz w:val="21"/>
                      <w:szCs w:val="21"/>
                      <w14:textFill>
                        <w14:solidFill>
                          <w14:schemeClr w14:val="tx1"/>
                        </w14:solidFill>
                      </w14:textFill>
                    </w:rPr>
                    <w:t>狮头山隧道进口进场道路施工用地</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为临时用地</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不</w:t>
                  </w:r>
                  <w:r>
                    <w:rPr>
                      <w:rFonts w:hint="default" w:ascii="Times New Roman" w:hAnsi="Times New Roman" w:cs="Times New Roman"/>
                      <w:color w:val="000000" w:themeColor="text1"/>
                      <w:sz w:val="21"/>
                      <w:szCs w:val="21"/>
                      <w14:textFill>
                        <w14:solidFill>
                          <w14:schemeClr w14:val="tx1"/>
                        </w14:solidFill>
                      </w14:textFill>
                    </w:rPr>
                    <w:t>新增用地</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不占用基本农田</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3" w:hRule="atLeast"/>
                <w:jc w:val="center"/>
              </w:trPr>
              <w:tc>
                <w:tcPr>
                  <w:tcW w:w="419"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98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严防固体废物污染土壤。全面整治产生固体废物的堆存场所。规范工业固废源头分类收集、贮存和处理处置活动，逐步建立全州工业固体废物综合利用与处置体系。进一步规范电子废物拆解、废轮胎、废塑料、废旧家电等的回收处理和资源化利用。鼓励企业采用先进或者适用的回收技术、工艺和设备，对生产过程中产生的工业固废进行综合利用。</w:t>
                  </w:r>
                </w:p>
              </w:tc>
              <w:tc>
                <w:tcPr>
                  <w:tcW w:w="222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根据项目原辅材料及产品分析，主要土壤环境风险物资为矿物油（包括</w:t>
                  </w:r>
                  <w:r>
                    <w:rPr>
                      <w:rFonts w:hint="eastAsia" w:ascii="Times New Roman" w:hAnsi="Times New Roman" w:cs="Times New Roman"/>
                      <w:color w:val="000000" w:themeColor="text1"/>
                      <w:sz w:val="21"/>
                      <w:szCs w:val="21"/>
                      <w:lang w:eastAsia="zh-CN"/>
                      <w14:textFill>
                        <w14:solidFill>
                          <w14:schemeClr w14:val="tx1"/>
                        </w14:solidFill>
                      </w14:textFill>
                    </w:rPr>
                    <w:t>废机油</w:t>
                  </w:r>
                  <w:r>
                    <w:rPr>
                      <w:rFonts w:hint="default" w:ascii="Times New Roman" w:hAnsi="Times New Roman" w:cs="Times New Roman"/>
                      <w:color w:val="000000" w:themeColor="text1"/>
                      <w:sz w:val="21"/>
                      <w:szCs w:val="21"/>
                      <w14:textFill>
                        <w14:solidFill>
                          <w14:schemeClr w14:val="tx1"/>
                        </w14:solidFill>
                      </w14:textFill>
                    </w:rPr>
                    <w:t>等），环评提出：危险废物暂存间设置防渗托盘和围堰，并采取相应的防渗措施后可有效降低土壤环境风险，土壤污染途径可被切断，不会对土壤环境风险防控底线造成冲击。</w:t>
                  </w:r>
                </w:p>
              </w:tc>
              <w:tc>
                <w:tcPr>
                  <w:tcW w:w="608"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autoSpaceDE w:val="0"/>
              <w:autoSpaceDN w:val="0"/>
              <w:adjustRightInd w:val="0"/>
              <w:spacing w:line="360" w:lineRule="auto"/>
              <w:ind w:firstLine="480" w:firstLineChars="200"/>
              <w:rPr>
                <w:rFonts w:hint="default" w:ascii="Times New Roman" w:hAnsi="Times New Roman" w:eastAsia="宋体" w:cs="Times New Roman"/>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color w:val="000000" w:themeColor="text1"/>
                <w:sz w:val="24"/>
                <w:shd w:val="clear" w:color="auto" w:fill="FFFFFF" w:themeFill="background1"/>
                <w14:textFill>
                  <w14:solidFill>
                    <w14:schemeClr w14:val="tx1"/>
                  </w14:solidFill>
                </w14:textFill>
              </w:rPr>
              <w:t>综上，项目建设符合《大理州“十四五”生态环境保护规划》的相关要求。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58" w:type="dxa"/>
            <w:vAlign w:val="center"/>
          </w:tcPr>
          <w:p>
            <w:pPr>
              <w:autoSpaceDE w:val="0"/>
              <w:autoSpaceDN w:val="0"/>
              <w:adjustRightInd w:val="0"/>
              <w:snapToGrid w:val="0"/>
              <w:jc w:val="center"/>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其他符合性分析</w:t>
            </w:r>
          </w:p>
        </w:tc>
        <w:tc>
          <w:tcPr>
            <w:tcW w:w="7318" w:type="dxa"/>
            <w:gridSpan w:val="3"/>
            <w:vAlign w:val="center"/>
          </w:tcPr>
          <w:p>
            <w:pPr>
              <w:keepNext w:val="0"/>
              <w:keepLines w:val="0"/>
              <w:pageBreakBefore w:val="0"/>
              <w:kinsoku/>
              <w:wordWrap/>
              <w:overflowPunct/>
              <w:topLinePunct w:val="0"/>
              <w:autoSpaceDE w:val="0"/>
              <w:autoSpaceDN w:val="0"/>
              <w:bidi w:val="0"/>
              <w:adjustRightInd/>
              <w:snapToGrid/>
              <w:spacing w:line="360" w:lineRule="auto"/>
              <w:ind w:left="0" w:right="0"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1、产业政策符合性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本项目仅为矿石破碎加工，不涉及矿石的开采、洗选等。</w:t>
            </w:r>
            <w:r>
              <w:rPr>
                <w:rFonts w:hint="default" w:ascii="Times New Roman" w:hAnsi="Times New Roman" w:eastAsia="宋体" w:cs="Times New Roman"/>
                <w:color w:val="000000" w:themeColor="text1"/>
                <w:sz w:val="24"/>
                <w:szCs w:val="24"/>
                <w:highlight w:val="none"/>
                <w14:textFill>
                  <w14:solidFill>
                    <w14:schemeClr w14:val="tx1"/>
                  </w14:solidFill>
                </w14:textFill>
              </w:rPr>
              <w:t>根据《产业结构调整指导目录（20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highlight w:val="none"/>
                <w14:textFill>
                  <w14:solidFill>
                    <w14:schemeClr w14:val="tx1"/>
                  </w14:solidFill>
                </w14:textFill>
              </w:rPr>
              <w:t>年本）》（国家发展改革委令第7号），本项目不属于其中的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鼓励类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限制类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淘汰类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项目。根据《国务院关于发布实施&lt;促进产业结构调整暂行规定&gt;的决定》（国发【2005】40号）：</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不属于鼓励类、限制类和淘汰类，且符合国家有关法律、法规和政策规定的，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视</w:t>
            </w:r>
            <w:r>
              <w:rPr>
                <w:rFonts w:hint="default" w:ascii="Times New Roman" w:hAnsi="Times New Roman" w:eastAsia="宋体" w:cs="Times New Roman"/>
                <w:color w:val="000000" w:themeColor="text1"/>
                <w:sz w:val="24"/>
                <w:szCs w:val="24"/>
                <w:highlight w:val="none"/>
                <w14:textFill>
                  <w14:solidFill>
                    <w14:schemeClr w14:val="tx1"/>
                  </w14:solidFill>
                </w14:textFill>
              </w:rPr>
              <w:t>为允许类。因此，本项目属于</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允许类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项目。同时，本项目的生产规模、工艺技术、装备不属于其中的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限制类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淘汰类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suppressLineNumbers w:val="0"/>
              <w:kinsoku/>
              <w:wordWrap/>
              <w:overflowPunct w:val="0"/>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项目于</w:t>
            </w:r>
            <w:r>
              <w:rPr>
                <w:rFonts w:hint="default" w:ascii="Times New Roman" w:hAnsi="Times New Roman" w:eastAsia="宋体" w:cs="Times New Roman"/>
                <w:color w:val="000000" w:themeColor="text1"/>
                <w:kern w:val="0"/>
                <w:sz w:val="24"/>
                <w:szCs w:val="24"/>
                <w:lang w:bidi="ar"/>
                <w14:textFill>
                  <w14:solidFill>
                    <w14:schemeClr w14:val="tx1"/>
                  </w14:solidFill>
                </w14:textFill>
              </w:rPr>
              <w:t>202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11</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13</w:t>
            </w:r>
            <w:r>
              <w:rPr>
                <w:rFonts w:hint="default" w:ascii="Times New Roman" w:hAnsi="Times New Roman" w:eastAsia="宋体" w:cs="Times New Roman"/>
                <w:color w:val="000000" w:themeColor="text1"/>
                <w:kern w:val="0"/>
                <w:sz w:val="24"/>
                <w:szCs w:val="24"/>
                <w:lang w:bidi="ar"/>
                <w14:textFill>
                  <w14:solidFill>
                    <w14:schemeClr w14:val="tx1"/>
                  </w14:solidFill>
                </w14:textFill>
              </w:rPr>
              <w:t>日</w:t>
            </w:r>
            <w:r>
              <w:rPr>
                <w:rFonts w:hint="default" w:ascii="Times New Roman" w:hAnsi="Times New Roman" w:eastAsia="宋体" w:cs="Times New Roman"/>
                <w:color w:val="000000" w:themeColor="text1"/>
                <w:sz w:val="24"/>
                <w:szCs w:val="24"/>
                <w14:textFill>
                  <w14:solidFill>
                    <w14:schemeClr w14:val="tx1"/>
                  </w14:solidFill>
                </w14:textFill>
              </w:rPr>
              <w:t>取得</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云龙</w:t>
            </w:r>
            <w:r>
              <w:rPr>
                <w:rFonts w:hint="default" w:ascii="Times New Roman" w:hAnsi="Times New Roman" w:eastAsia="宋体" w:cs="Times New Roman"/>
                <w:color w:val="000000" w:themeColor="text1"/>
                <w:kern w:val="0"/>
                <w:sz w:val="24"/>
                <w:szCs w:val="24"/>
                <w:lang w:bidi="ar"/>
                <w14:textFill>
                  <w14:solidFill>
                    <w14:schemeClr w14:val="tx1"/>
                  </w14:solidFill>
                </w14:textFill>
              </w:rPr>
              <w:t>县发展和改革局</w:t>
            </w:r>
            <w:r>
              <w:rPr>
                <w:rFonts w:hint="default" w:ascii="Times New Roman" w:hAnsi="Times New Roman" w:eastAsia="宋体" w:cs="Times New Roman"/>
                <w:color w:val="000000" w:themeColor="text1"/>
                <w:sz w:val="24"/>
                <w:szCs w:val="24"/>
                <w14:textFill>
                  <w14:solidFill>
                    <w14:schemeClr w14:val="tx1"/>
                  </w14:solidFill>
                </w14:textFill>
              </w:rPr>
              <w:t>核发的投资项目备案证，项目代码：2411-532929-04-05-894792。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详见附件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综上，项目建设符合相关产业政策的要求。</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ascii="Times New Roman" w:hAnsi="Times New Roman" w:eastAsia="宋体" w:cs="Times New Roman"/>
                <w:b/>
                <w:bCs/>
                <w:color w:val="000000" w:themeColor="text1"/>
                <w:sz w:val="24"/>
                <w:szCs w:val="24"/>
                <w14:textFill>
                  <w14:solidFill>
                    <w14:schemeClr w14:val="tx1"/>
                  </w14:solidFill>
                </w14:textFill>
              </w:rPr>
              <w:t>与</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大理州“三线一单”</w:t>
            </w:r>
            <w:r>
              <w:rPr>
                <w:rFonts w:ascii="Times New Roman" w:hAnsi="Times New Roman" w:eastAsia="宋体" w:cs="Times New Roman"/>
                <w:b/>
                <w:bCs/>
                <w:color w:val="000000" w:themeColor="text1"/>
                <w:sz w:val="24"/>
                <w:szCs w:val="24"/>
                <w14:textFill>
                  <w14:solidFill>
                    <w14:schemeClr w14:val="tx1"/>
                  </w14:solidFill>
                </w14:textFill>
              </w:rPr>
              <w:t>的符合性分析</w:t>
            </w:r>
          </w:p>
          <w:p>
            <w:pPr>
              <w:keepNext w:val="0"/>
              <w:keepLines w:val="0"/>
              <w:pageBreakBefore w:val="0"/>
              <w:kinsoku/>
              <w:wordWrap/>
              <w:topLinePunct w:val="0"/>
              <w:bidi w:val="0"/>
              <w:adjustRightInd/>
              <w:snapToGrid/>
              <w:spacing w:line="360" w:lineRule="auto"/>
              <w:ind w:left="0" w:right="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大理白族自治州生态环境局关于印发《大理州生态环境分区管控动态更新调整方案（2023年）》的通知</w:t>
            </w:r>
            <w:r>
              <w:rPr>
                <w:rFonts w:ascii="Times New Roman" w:hAnsi="Times New Roman" w:eastAsia="宋体" w:cs="Times New Roman"/>
                <w:b w:val="0"/>
                <w:bCs w:val="0"/>
                <w:color w:val="000000" w:themeColor="text1"/>
                <w:sz w:val="24"/>
                <w:szCs w:val="24"/>
                <w14:textFill>
                  <w14:solidFill>
                    <w14:schemeClr w14:val="tx1"/>
                  </w14:solidFill>
                </w14:textFill>
              </w:rPr>
              <w:t>（</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大</w:t>
            </w:r>
            <w:r>
              <w:rPr>
                <w:rFonts w:hint="eastAsia"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环</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发〔202</w:t>
            </w:r>
            <w:r>
              <w:rPr>
                <w:rFonts w:hint="eastAsia"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w:t>
            </w:r>
            <w:r>
              <w:rPr>
                <w:rFonts w:hint="eastAsia"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44</w:t>
            </w:r>
            <w:r>
              <w:rPr>
                <w:rFonts w:ascii="Times New Roman" w:hAnsi="Times New Roman" w:eastAsia="宋体" w:cs="Times New Roman"/>
                <w:b w:val="0"/>
                <w:bCs w:val="0"/>
                <w:color w:val="000000" w:themeColor="text1"/>
                <w:sz w:val="24"/>
                <w:szCs w:val="24"/>
                <w:shd w:val="clear" w:color="auto" w:fill="FFFFFF"/>
                <w14:textFill>
                  <w14:solidFill>
                    <w14:schemeClr w14:val="tx1"/>
                  </w14:solidFill>
                </w14:textFill>
              </w:rPr>
              <w:t>号</w:t>
            </w:r>
            <w:r>
              <w:rPr>
                <w:rFonts w:ascii="Times New Roman" w:hAnsi="Times New Roman" w:eastAsia="宋体" w:cs="Times New Roman"/>
                <w:b w:val="0"/>
                <w:bCs w:val="0"/>
                <w:color w:val="000000" w:themeColor="text1"/>
                <w:sz w:val="24"/>
                <w:szCs w:val="24"/>
                <w14:textFill>
                  <w14:solidFill>
                    <w14:schemeClr w14:val="tx1"/>
                  </w14:solidFill>
                </w14:textFill>
              </w:rPr>
              <w:t>），</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大理州</w:t>
            </w:r>
            <w:r>
              <w:rPr>
                <w:rFonts w:hint="eastAsia" w:ascii="Times New Roman" w:hAnsi="Times New Roman" w:eastAsia="宋体" w:cs="Times New Roman"/>
                <w:b w:val="0"/>
                <w:bCs w:val="0"/>
                <w:color w:val="000000" w:themeColor="text1"/>
                <w:sz w:val="24"/>
                <w:szCs w:val="24"/>
                <w14:textFill>
                  <w14:solidFill>
                    <w14:schemeClr w14:val="tx1"/>
                  </w14:solidFill>
                </w14:textFill>
              </w:rPr>
              <w:t>更新调整后,共划定综合管控单元105个其中:优先保护单元36个，面积12782.72平方公里，占</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全州面积</w:t>
            </w:r>
            <w:r>
              <w:rPr>
                <w:rFonts w:hint="eastAsia" w:ascii="Times New Roman" w:hAnsi="Times New Roman" w:eastAsia="宋体" w:cs="Times New Roman"/>
                <w:b w:val="0"/>
                <w:bCs w:val="0"/>
                <w:color w:val="000000" w:themeColor="text1"/>
                <w:sz w:val="24"/>
                <w:szCs w:val="24"/>
                <w14:textFill>
                  <w14:solidFill>
                    <w14:schemeClr w14:val="tx1"/>
                  </w14:solidFill>
                </w14:textFill>
              </w:rPr>
              <w:t>的45.16%，包含生态保护红线优先保护单元、一般生态空间优先保护单元、饮用水水源地保护区优先保护单元等3类</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重点管控单元57个，面积2449.87平方公里，占</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全州面积</w:t>
            </w:r>
            <w:r>
              <w:rPr>
                <w:rFonts w:hint="eastAsia" w:ascii="Times New Roman" w:hAnsi="Times New Roman" w:eastAsia="宋体" w:cs="Times New Roman"/>
                <w:b w:val="0"/>
                <w:bCs w:val="0"/>
                <w:color w:val="000000" w:themeColor="text1"/>
                <w:sz w:val="24"/>
                <w:szCs w:val="24"/>
                <w14:textFill>
                  <w14:solidFill>
                    <w14:schemeClr w14:val="tx1"/>
                  </w14:solidFill>
                </w14:textFill>
              </w:rPr>
              <w:t>的8.66%，包含产业园区重点管控单元、城区生活污染重点管控单元、乡镇生活污染重点管控单元、农业农村面源污染重点管控单元、矿产资源重点管控单元、大气环境布局敏感重点管控单元等6类</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一般管控单元12个，面积13069.06平方公里，占</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全州面积</w:t>
            </w:r>
            <w:r>
              <w:rPr>
                <w:rFonts w:hint="eastAsia" w:ascii="Times New Roman" w:hAnsi="Times New Roman" w:eastAsia="宋体" w:cs="Times New Roman"/>
                <w:b w:val="0"/>
                <w:bCs w:val="0"/>
                <w:color w:val="000000" w:themeColor="text1"/>
                <w:sz w:val="24"/>
                <w:szCs w:val="24"/>
                <w14:textFill>
                  <w14:solidFill>
                    <w14:schemeClr w14:val="tx1"/>
                  </w14:solidFill>
                </w14:textFill>
              </w:rPr>
              <w:t>的46.18%，为优先保护单元和重点管控单元以外</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的</w:t>
            </w:r>
            <w:r>
              <w:rPr>
                <w:rFonts w:hint="eastAsia" w:ascii="Times New Roman" w:hAnsi="Times New Roman" w:eastAsia="宋体" w:cs="Times New Roman"/>
                <w:b w:val="0"/>
                <w:bCs w:val="0"/>
                <w:color w:val="000000" w:themeColor="text1"/>
                <w:sz w:val="24"/>
                <w:szCs w:val="24"/>
                <w14:textFill>
                  <w14:solidFill>
                    <w14:schemeClr w14:val="tx1"/>
                  </w14:solidFill>
                </w14:textFill>
              </w:rPr>
              <w:t>区</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云龙</w:t>
            </w:r>
            <w:r>
              <w:rPr>
                <w:rFonts w:hint="default" w:ascii="Times New Roman" w:hAnsi="Times New Roman" w:cs="Times New Roman"/>
                <w:color w:val="000000" w:themeColor="text1"/>
                <w:sz w:val="24"/>
                <w:szCs w:val="24"/>
                <w14:textFill>
                  <w14:solidFill>
                    <w14:schemeClr w14:val="tx1"/>
                  </w14:solidFill>
                </w14:textFill>
              </w:rPr>
              <w:t>县生态环境局“三线一单”生态环境分区管控单元查询结果（见附件</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），本项目所在区域属于综合管控单元的云龙县土壤污染重点管控单元，单元编码为：ZH53292920004，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属于</w:t>
            </w:r>
            <w:r>
              <w:rPr>
                <w:rFonts w:hint="default" w:ascii="Times New Roman" w:hAnsi="Times New Roman" w:cs="Times New Roman"/>
                <w:color w:val="000000" w:themeColor="text1"/>
                <w:sz w:val="24"/>
                <w:szCs w:val="24"/>
                <w14:textFill>
                  <w14:solidFill>
                    <w14:schemeClr w14:val="tx1"/>
                  </w14:solidFill>
                </w14:textFill>
              </w:rPr>
              <w:t>重点管控单元。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ascii="Times New Roman" w:hAnsi="Times New Roman" w:cs="Times New Roman"/>
                <w:b/>
                <w:bCs/>
                <w:color w:val="000000" w:themeColor="text1"/>
                <w:sz w:val="21"/>
                <w:szCs w:val="21"/>
                <w14:textFill>
                  <w14:solidFill>
                    <w14:schemeClr w14:val="tx1"/>
                  </w14:solidFill>
                </w14:textFill>
              </w:rPr>
              <w:t>与</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hint="eastAsia" w:ascii="Times New Roman" w:hAnsi="Times New Roman" w:cs="Times New Roman"/>
                <w:b/>
                <w:bCs/>
                <w:color w:val="000000" w:themeColor="text1"/>
                <w:sz w:val="21"/>
                <w:szCs w:val="21"/>
                <w:lang w:val="en-US" w:eastAsia="zh-CN"/>
                <w14:textFill>
                  <w14:solidFill>
                    <w14:schemeClr w14:val="tx1"/>
                  </w14:solidFill>
                </w14:textFill>
              </w:rPr>
              <w:t>三线一单</w:t>
            </w:r>
            <w:r>
              <w:rPr>
                <w:rFonts w:hint="eastAsia" w:ascii="Times New Roman" w:hAnsi="Times New Roman" w:cs="Times New Roman"/>
                <w:b/>
                <w:bCs/>
                <w:color w:val="000000" w:themeColor="text1"/>
                <w:sz w:val="21"/>
                <w:szCs w:val="21"/>
                <w:lang w:eastAsia="zh-CN"/>
                <w14:textFill>
                  <w14:solidFill>
                    <w14:schemeClr w14:val="tx1"/>
                  </w14:solidFill>
                </w14:textFill>
              </w:rPr>
              <w:t>”</w:t>
            </w:r>
            <w:r>
              <w:rPr>
                <w:rFonts w:ascii="Times New Roman" w:hAnsi="Times New Roman" w:cs="Times New Roman"/>
                <w:b/>
                <w:bCs/>
                <w:color w:val="000000" w:themeColor="text1"/>
                <w14:textFill>
                  <w14:solidFill>
                    <w14:schemeClr w14:val="tx1"/>
                  </w14:solidFill>
                </w14:textFill>
              </w:rPr>
              <w:t>符合性分析</w:t>
            </w:r>
          </w:p>
          <w:tbl>
            <w:tblPr>
              <w:tblStyle w:val="27"/>
              <w:tblW w:w="7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04"/>
              <w:gridCol w:w="2549"/>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文件内容</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相符性分析</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生态保护红线和一般生态空间</w:t>
                  </w: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执行《云南省人民政府关于发布云南省生态保护红线的通知》</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云政发</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2018〕32号</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生态保护红线评估调整成果获批后，按照批准成果执行。将未划入生态保护红线的自然保护地、饮用水水源保护区、重要湿地、基本草原、生态公益林、天然林等生态功能重要、生态环境敏感区域划为一般生态空间。</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本项目位于</w:t>
                  </w:r>
                  <w:r>
                    <w:rPr>
                      <w:rFonts w:hint="eastAsia" w:ascii="Times New Roman" w:hAnsi="Times New Roman" w:eastAsia="宋体" w:cs="Times New Roman"/>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生态红线查询结果（详见附件4）</w:t>
                  </w:r>
                  <w:r>
                    <w:rPr>
                      <w:rFonts w:hint="default" w:ascii="Times New Roman" w:hAnsi="Times New Roman" w:eastAsia="宋体" w:cs="Times New Roman"/>
                      <w:color w:val="000000" w:themeColor="text1"/>
                      <w:sz w:val="21"/>
                      <w:szCs w:val="21"/>
                      <w:lang w:eastAsia="zh-CN"/>
                      <w14:textFill>
                        <w14:solidFill>
                          <w14:schemeClr w14:val="tx1"/>
                        </w14:solidFill>
                      </w14:textFill>
                    </w:rPr>
                    <w:t>，项目用地不涉及</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云龙县生态保护红线</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color w:val="000000" w:themeColor="text1"/>
                      <w:szCs w:val="21"/>
                      <w14:textFill>
                        <w14:solidFill>
                          <w14:schemeClr w14:val="tx1"/>
                        </w14:solidFill>
                      </w14:textFill>
                    </w:rPr>
                    <w:t>将未划入生态保护红线的自然保护区、国家公园、森林公园、风景名胜区、地质公园、湿地公园、县城集中式饮用水水源地、水产种质资源保护区等生态功能重要区、生态环境敏感区划入一般生态空间。</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w:t>
                  </w:r>
                  <w:r>
                    <w:rPr>
                      <w:rFonts w:hint="default" w:ascii="Times New Roman" w:hAnsi="Times New Roman" w:cs="Times New Roman"/>
                      <w:color w:val="000000" w:themeColor="text1"/>
                      <w:sz w:val="21"/>
                      <w:szCs w:val="21"/>
                      <w:lang w:val="en-US" w:eastAsia="zh-CN"/>
                      <w14:textFill>
                        <w14:solidFill>
                          <w14:schemeClr w14:val="tx1"/>
                        </w14:solidFill>
                      </w14:textFill>
                    </w:rPr>
                    <w:t>云龙</w:t>
                  </w:r>
                  <w:r>
                    <w:rPr>
                      <w:rFonts w:hint="default" w:ascii="Times New Roman" w:hAnsi="Times New Roman" w:cs="Times New Roman"/>
                      <w:color w:val="000000" w:themeColor="text1"/>
                      <w:sz w:val="21"/>
                      <w:szCs w:val="21"/>
                      <w14:textFill>
                        <w14:solidFill>
                          <w14:schemeClr w14:val="tx1"/>
                        </w14:solidFill>
                      </w14:textFill>
                    </w:rPr>
                    <w:t>县生态环境局“三线一单”生态环境分区管控单元查询结果（见附件</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），本项目所在区域属于综合管控单元的综合管控单元的云龙县土壤污染重点管控单元</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环境质量底线</w:t>
                  </w:r>
                </w:p>
              </w:tc>
              <w:tc>
                <w:tcPr>
                  <w:tcW w:w="32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水环境质量底线。到2025年，全州水环境质量明显改善，纳入考核的地表水Ⅲ类以上水体比例持续提高，洱海总体保持良好湖泊水质。到2035年，全州地表水体水质优良率全面提升，纳入考核监测断面水质达到水环境功能要求，洱海水质稳定向好；持续提升饮用水安全保障水平，重点区域重点流域水质改善，水生生态系统功能逐步恢复，实现生态系统良性循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2.大气环境质量底线。到2025年全州城市环境空气质量稳定，完成省下达的大气污染物总量控制指标。到2035年全州城市环境空气质量优中更优，完成省下达的大气污染物总量控制指标。</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3.土壤环境风险防控底线。到2025年，土壤环境风险防范体系进一步完善，受污染耕地安全利用率和污染地块安全利用率进一步提到2035年，土壤环境质量稳中向好，农用地和建设用地土壤环境安全得到有效保障，土壤环境风险得到全面管控高。</w:t>
                  </w:r>
                </w:p>
              </w:tc>
              <w:tc>
                <w:tcPr>
                  <w:tcW w:w="25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（1）项目建设区为环境空气二类区，执行《环境空气质量标准》（GB3095-2012）二级标准。</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大理白族自治州2023年环境状况公报</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》全州环境空气质量总体保持良好，</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项目废气达标排放，对周围环境影响较小。</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项目位于云龙县长新乡龙子潭小组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本项目涉及地表水体为沘江，根据《大理白族自治州2023年环境状况公报》</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2024年6月5日发布</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，沘江石门断面符合Ⅱ类水质标准。</w:t>
                  </w:r>
                  <w:r>
                    <w:rPr>
                      <w:rFonts w:hint="default" w:ascii="Times New Roman" w:hAnsi="Times New Roman" w:eastAsia="宋体" w:cs="Times New Roman"/>
                      <w:color w:val="000000" w:themeColor="text1"/>
                      <w:sz w:val="21"/>
                      <w:szCs w:val="21"/>
                      <w:lang w:eastAsia="zh-CN"/>
                      <w14:textFill>
                        <w14:solidFill>
                          <w14:schemeClr w14:val="tx1"/>
                        </w14:solidFill>
                      </w14:textFill>
                    </w:rPr>
                    <w:t>项目无废水排放，不会增加</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沘江</w:t>
                  </w:r>
                  <w:r>
                    <w:rPr>
                      <w:rFonts w:hint="default" w:ascii="Times New Roman" w:hAnsi="Times New Roman" w:eastAsia="宋体" w:cs="Times New Roman"/>
                      <w:color w:val="000000" w:themeColor="text1"/>
                      <w:sz w:val="21"/>
                      <w:szCs w:val="21"/>
                      <w:lang w:eastAsia="zh-CN"/>
                      <w14:textFill>
                        <w14:solidFill>
                          <w14:schemeClr w14:val="tx1"/>
                        </w14:solidFill>
                      </w14:textFill>
                    </w:rPr>
                    <w:t>负荷，不设置直接排污口，不会改变区域水环境质量功能。</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项目产生的厨房废水经油水分离器（≥0.3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），经收集池沉淀后用于厂区洒水降尘，不外排；项目配套设置旱厕（3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初期雨水收集池雨水收集后回用于场地洒水降尘，不外排。</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狮头山隧道进口进场道路施工用地，项目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属于砂石料加工项目，运营过程不产生有毒有害及重金属物质，对土壤影响较小。</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资源利用上线</w:t>
                  </w:r>
                </w:p>
              </w:tc>
              <w:tc>
                <w:tcPr>
                  <w:tcW w:w="3204" w:type="dxa"/>
                  <w:vAlign w:val="center"/>
                </w:tcPr>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14:textFill>
                        <w14:solidFill>
                          <w14:schemeClr w14:val="tx1"/>
                        </w14:solidFill>
                      </w14:textFill>
                    </w:rPr>
                    <w:t>强化资源能源节约集约利用，持续提升资源能源利用效率，水资源、土地资源、能源消耗等达到或优于云南省下达的总量和强度控制目标。</w:t>
                  </w:r>
                </w:p>
              </w:tc>
              <w:tc>
                <w:tcPr>
                  <w:tcW w:w="2549" w:type="dxa"/>
                  <w:vAlign w:val="center"/>
                </w:tcPr>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本项目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使用洞渣破碎加工成砂石料项目，</w:t>
                  </w:r>
                  <w:r>
                    <w:rPr>
                      <w:rFonts w:hint="eastAsia" w:ascii="宋体" w:hAnsi="宋体"/>
                      <w:color w:val="000000" w:themeColor="text1"/>
                      <w:sz w:val="21"/>
                      <w:szCs w:val="21"/>
                      <w:lang w:val="en-US" w:eastAsia="zh-CN"/>
                      <w14:textFill>
                        <w14:solidFill>
                          <w14:schemeClr w14:val="tx1"/>
                        </w14:solidFill>
                      </w14:textFill>
                    </w:rPr>
                    <w:t>消耗解决渣土固废问题，符合</w:t>
                  </w:r>
                  <w:r>
                    <w:rPr>
                      <w:rFonts w:hint="default" w:ascii="Times New Roman" w:hAnsi="Times New Roman" w:eastAsia="宋体" w:cs="Times New Roman"/>
                      <w:b w:val="0"/>
                      <w:color w:val="000000" w:themeColor="text1"/>
                      <w:sz w:val="21"/>
                      <w:szCs w:val="21"/>
                      <w:highlight w:val="none"/>
                      <w14:textFill>
                        <w14:solidFill>
                          <w14:schemeClr w14:val="tx1"/>
                        </w14:solidFill>
                      </w14:textFill>
                    </w:rPr>
                    <w:t>提升资源能源利用效率</w:t>
                  </w:r>
                  <w:r>
                    <w:rPr>
                      <w:rFonts w:hint="eastAsia" w:ascii="Times New Roman" w:hAnsi="Times New Roman" w:eastAsia="宋体" w:cs="Times New Roman"/>
                      <w:b w:val="0"/>
                      <w:color w:val="000000" w:themeColor="text1"/>
                      <w:sz w:val="21"/>
                      <w:szCs w:val="21"/>
                      <w:highlight w:val="none"/>
                      <w:lang w:eastAsia="zh-CN"/>
                      <w14:textFill>
                        <w14:solidFill>
                          <w14:schemeClr w14:val="tx1"/>
                        </w14:solidFill>
                      </w14:textFill>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符合</w:t>
                  </w:r>
                </w:p>
              </w:tc>
            </w:tr>
          </w:tbl>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14:textFill>
                  <w14:solidFill>
                    <w14:schemeClr w14:val="tx1"/>
                  </w14:solidFill>
                </w14:textFill>
              </w:rPr>
            </w:pPr>
            <w:bookmarkStart w:id="4" w:name="_Toc2480"/>
            <w:r>
              <w:rPr>
                <w:rFonts w:hint="default" w:ascii="Times New Roman" w:hAnsi="Times New Roman" w:cs="Times New Roman"/>
                <w:color w:val="000000" w:themeColor="text1"/>
                <w14:textFill>
                  <w14:solidFill>
                    <w14:schemeClr w14:val="tx1"/>
                  </w14:solidFill>
                </w14:textFill>
              </w:rPr>
              <w:t>表1-</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项目与大理州生态环境管控总体要求符合性</w:t>
            </w:r>
            <w:bookmarkEnd w:id="4"/>
            <w:r>
              <w:rPr>
                <w:rFonts w:hint="default" w:ascii="Times New Roman" w:hAnsi="Times New Roman" w:cs="Times New Roman"/>
                <w:color w:val="000000" w:themeColor="text1"/>
                <w14:textFill>
                  <w14:solidFill>
                    <w14:schemeClr w14:val="tx1"/>
                  </w14:solidFill>
                </w14:textFill>
              </w:rPr>
              <w:t>一览表</w:t>
            </w:r>
          </w:p>
          <w:tbl>
            <w:tblPr>
              <w:tblStyle w:val="26"/>
              <w:tblW w:w="7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3598"/>
              <w:gridCol w:w="2439"/>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tblHeader/>
                <w:jc w:val="center"/>
              </w:trPr>
              <w:tc>
                <w:tcPr>
                  <w:tcW w:w="53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管控领域</w:t>
                  </w: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管控要求</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项目情况</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空间布局约束</w:t>
                  </w: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1.严格落实国家产业政策、国家产业结构调整指导目录。将资源承载能力、生态环境容量作为承接产业转移的基础和前提，</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合理确定承接产</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业转移重点，禁止引进环境污染大、资源消耗高、技术落后的生产能力。严禁以任何名义、</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任何方式核准或备案产能严重过剩行业的增加产</w:t>
                  </w:r>
                  <w:r>
                    <w:rPr>
                      <w:rFonts w:hint="default" w:ascii="Times New Roman" w:hAnsi="Times New Roman" w:eastAsia="宋体" w:cs="Times New Roman"/>
                      <w:b w:val="0"/>
                      <w:bCs w:val="0"/>
                      <w:color w:val="000000" w:themeColor="text1"/>
                      <w:sz w:val="21"/>
                      <w:szCs w:val="21"/>
                      <w14:textFill>
                        <w14:solidFill>
                          <w14:schemeClr w14:val="tx1"/>
                        </w14:solidFill>
                      </w14:textFill>
                    </w:rPr>
                    <w:t>能项目。</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为云龙至永平高速公路配套砂石料加工项目，符合国家产业政策，不属于</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污染大、资源消耗高、技术落后的生产</w:t>
                  </w:r>
                  <w: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t>项目</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2.禁止在合规园区外新建、扩建钢铁、石化、化工、焦化、建材、有色、制浆造纸等</w:t>
                  </w:r>
                  <w:r>
                    <w:rPr>
                      <w:rFonts w:hint="eastAsia"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高污染项目严格按照《环境保护综合</w:t>
                  </w: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名录》</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“高污染”产品名录执行</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。禁止新建、扩建不符合国家石化、现代煤化工等产业规划布局的项目。新建、改建、扩建“两</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高”项目须符合生态环境保护法律法规和相关法定规划，满足重点污染物排放总量控制、碳排放达峰目标、生态环境准入清单、相关规划环评和相应</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行业建</w:t>
                  </w: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设项目环境准入条件、环评文件审批原则要求。</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为云龙至永平高速公路配套砂石料加工项目，不属于</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高污染项目</w:t>
                  </w:r>
                  <w:r>
                    <w:rPr>
                      <w:rFonts w:hint="default"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坚决遏制高耗能、高排放、低水平项目盲目发展，项目审批严格落实国家和</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云南省相关政策要求。加大钢铁、水泥熟料、烧结砖瓦等行业</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落后产能淘汰和过剩产能压减力度，加快落后低效和过剩产能化解淘汰，严禁新增钢铁、焦炭、水泥、平板</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玻璃等行业产能，实施粗钢产能</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清理整顿，依法依规推动小屠宰及肉类加工、小磷肥</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企业退出，推动重污染企业搬迁入园或依法关闭。</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为云龙至永平高速公路配套砂石料加工项目，不属于</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高污染</w:t>
                  </w:r>
                  <w:r>
                    <w:rPr>
                      <w:rFonts w:hint="default"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4"/>
                      <w:sz w:val="21"/>
                      <w:szCs w:val="21"/>
                      <w:lang w:val="en-US" w:eastAsia="zh-CN"/>
                      <w14:textFill>
                        <w14:solidFill>
                          <w14:schemeClr w14:val="tx1"/>
                        </w14:solidFill>
                      </w14:textFill>
                    </w:rPr>
                    <w:t>产能产业落后</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项目</w:t>
                  </w:r>
                  <w:r>
                    <w:rPr>
                      <w:rFonts w:hint="default" w:ascii="Times New Roman" w:hAnsi="Times New Roman" w:eastAsia="宋体" w:cs="Times New Roman"/>
                      <w:b w:val="0"/>
                      <w:bCs w:val="0"/>
                      <w:color w:val="000000" w:themeColor="text1"/>
                      <w:spacing w:val="-4"/>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4.禁止在金沙江干流、九大高原湖泊</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洱海</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保护区、保留区内投资建设不利于水资源及</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自然生态保护的项目。禁止在金沙江干流建设除党</w:t>
                  </w: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中央、国务院、国家投资主管部门、省级有关部门批复同意</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以外的过江基础设施项目；禁止未经许可在金沙江干流、九大高原湖泊</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洱海</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流域新设、改设或扩大排污口。禁止在金沙</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江干流禁捕水域开展天然渔业资源生产性捕捞。</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禁止项目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2"/>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5.禁止在金沙江干流和九大高原湖泊</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洱海</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岸线一公里范围内新建、扩建化</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工园区和化工项目。禁止在金沙江干流岸线三公里范围内新建</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改建、扩建尾矿库、冶炼渣库和磷石膏库，以提</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升安全、生态环境保护水平为目的的改建除外。</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化工项目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2"/>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6.加强河湖水域岸线空间管控，严格落实澜沧江相关管控要求，合理安排河湖管理保</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护控制地带，加强对河湖周边房地产、工矿企业、化工</w:t>
                  </w: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园区等“贴线”开发管控。</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禁止项目</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7.全面加强洱海流域空间管控，严控洱海流域建设活动。在洱海流域范围内禁</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止布局高污染、高排放的矿冶建材、重化工等产业，加快流域</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内砖瓦</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新型建材除外</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等建材产业的搬迁及非煤矿山生态修复，流域内不再布局水泥、砖瓦</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新型建材除外</w:t>
                  </w:r>
                  <w:r>
                    <w:rPr>
                      <w:rFonts w:hint="eastAsia" w:ascii="Times New Roman" w:hAnsi="Times New Roman" w:eastAsia="宋体" w:cs="Times New Roman"/>
                      <w:b w:val="0"/>
                      <w:bCs w:val="0"/>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等生</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产企业，全面关停洱海</w:t>
                  </w:r>
                </w:p>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2"/>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流域除地热、矿泉水之外的所有矿山。</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eastAsia" w:ascii="Times New Roman" w:hAnsi="Times New Roman" w:cs="Times New Roman"/>
                      <w:color w:val="000000" w:themeColor="text1"/>
                      <w:sz w:val="21"/>
                      <w:szCs w:val="21"/>
                      <w:lang w:val="en-US" w:eastAsia="zh-CN"/>
                      <w14:textFill>
                        <w14:solidFill>
                          <w14:schemeClr w14:val="tx1"/>
                        </w14:solidFill>
                      </w14:textFill>
                    </w:rPr>
                    <w:t>项目属于澜沧江流域，</w:t>
                  </w:r>
                  <w:r>
                    <w:rPr>
                      <w:rFonts w:hint="default" w:ascii="Times New Roman" w:hAnsi="Times New Roman" w:cs="Times New Roman"/>
                      <w:color w:val="000000" w:themeColor="text1"/>
                      <w:sz w:val="21"/>
                      <w:szCs w:val="21"/>
                      <w14:textFill>
                        <w14:solidFill>
                          <w14:schemeClr w14:val="tx1"/>
                        </w14:solidFill>
                      </w14:textFill>
                    </w:rPr>
                    <w:t>不涉及</w:t>
                  </w:r>
                  <w:r>
                    <w:rPr>
                      <w:rFonts w:hint="default" w:ascii="Times New Roman" w:hAnsi="Times New Roman" w:cs="Times New Roman"/>
                      <w:color w:val="000000" w:themeColor="text1"/>
                      <w:sz w:val="21"/>
                      <w:szCs w:val="21"/>
                      <w:lang w:val="en-US" w:eastAsia="zh-CN"/>
                      <w14:textFill>
                        <w14:solidFill>
                          <w14:schemeClr w14:val="tx1"/>
                        </w14:solidFill>
                      </w14:textFill>
                    </w:rPr>
                    <w:t>洱海流域。</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pacing w:val="-3"/>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8.新建旅游景区禁止破坏生态环境，限制在生态脆弱地区布局。根据</w:t>
                  </w: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景区承载能力进行功能分区管理，确定游客容量上限。</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根据选址意见（详见附件3），已经征得相关部门同意，不涉及景区。</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9.落实云南省碳达峰碳中和相关要求，处理好发展和减排、整体和局部、长远目标和短期目标、政府和市场的关系，坚定不移走生态优先、</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绿色低碳的高质量发展道路。</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根据选址意见（详见附件3），已经征得相关部门同意，不涉及碳排放</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污染物排放管控</w:t>
                  </w: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1.开展城镇截污治污、农业面源污染治理、入河排污口整治等。全力推动西</w:t>
                  </w:r>
                  <w:r>
                    <w:rPr>
                      <w:rFonts w:hint="default" w:ascii="Times New Roman" w:hAnsi="Times New Roman" w:eastAsia="宋体" w:cs="Times New Roman"/>
                      <w:color w:val="000000" w:themeColor="text1"/>
                      <w:sz w:val="21"/>
                      <w:szCs w:val="21"/>
                      <w14:textFill>
                        <w14:solidFill>
                          <w14:schemeClr w14:val="tx1"/>
                        </w14:solidFill>
                      </w14:textFill>
                    </w:rPr>
                    <w:t>洱河四级坝断面脱劣治理。以北三江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弥苴河、永安江、罗时江</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片区和南部两河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波罗江、白塔河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、漾弓江为重点，完善城镇污水收集处理设施，积极防治农业农村面源污染，完善水环境监管体系</w:t>
                  </w:r>
                  <w:r>
                    <w:rPr>
                      <w:rFonts w:hint="default" w:ascii="Times New Roman" w:hAnsi="Times New Roman" w:eastAsia="宋体" w:cs="Times New Roman"/>
                      <w:color w:val="000000" w:themeColor="text1"/>
                      <w:spacing w:val="-1"/>
                      <w:sz w:val="21"/>
                      <w:szCs w:val="21"/>
                      <w14:textFill>
                        <w14:solidFill>
                          <w14:schemeClr w14:val="tx1"/>
                        </w14:solidFill>
                      </w14:textFill>
                    </w:rPr>
                    <w:t>；推</w:t>
                  </w:r>
                  <w:r>
                    <w:rPr>
                      <w:rFonts w:hint="default" w:ascii="Times New Roman" w:hAnsi="Times New Roman" w:eastAsia="宋体" w:cs="Times New Roman"/>
                      <w:color w:val="000000" w:themeColor="text1"/>
                      <w:sz w:val="21"/>
                      <w:szCs w:val="21"/>
                      <w14:textFill>
                        <w14:solidFill>
                          <w14:schemeClr w14:val="tx1"/>
                        </w14:solidFill>
                      </w14:textFill>
                    </w:rPr>
                    <w:t>进剑湖、礼社江-龙树桥等水质波动断面的水环境综合整治，稳固水体达标成效。</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本项目不属于重点流域范围，不属于西洱河等水污染严重地区；项目采用雨污分流制，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影响周边地表水环境。</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2.严格保护城乡集中式饮用水水源地，整治饮用水源保护区内的污染源，确保饮用水安全。到2025年，县级以上</w:t>
                  </w:r>
                  <w:r>
                    <w:rPr>
                      <w:rFonts w:hint="default" w:ascii="Times New Roman" w:hAnsi="Times New Roman" w:eastAsia="宋体" w:cs="Times New Roman"/>
                      <w:color w:val="000000" w:themeColor="text1"/>
                      <w:spacing w:val="-1"/>
                      <w:sz w:val="21"/>
                      <w:szCs w:val="21"/>
                      <w14:textFill>
                        <w14:solidFill>
                          <w14:schemeClr w14:val="tx1"/>
                        </w14:solidFill>
                      </w14:textFill>
                    </w:rPr>
                    <w:t>集中式饮用水水源水质达到或优于Ⅲ类比例达到100%</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3.推动</w:t>
                  </w:r>
                  <w:r>
                    <w:rPr>
                      <w:rFonts w:hint="default" w:ascii="Times New Roman" w:hAnsi="Times New Roman" w:eastAsia="宋体" w:cs="Times New Roman"/>
                      <w:color w:val="000000" w:themeColor="text1"/>
                      <w:sz w:val="21"/>
                      <w:szCs w:val="21"/>
                      <w14:textFill>
                        <w14:solidFill>
                          <w14:schemeClr w14:val="tx1"/>
                        </w14:solidFill>
                      </w14:textFill>
                    </w:rPr>
                    <w:t>PM</w:t>
                  </w:r>
                  <w:r>
                    <w:rPr>
                      <w:rFonts w:hint="eastAsia" w:ascii="Times New Roman" w:hAnsi="Times New Roman" w:eastAsia="宋体" w:cs="Times New Roman"/>
                      <w:color w:val="000000" w:themeColor="text1"/>
                      <w:spacing w:val="3"/>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pacing w:val="3"/>
                      <w:sz w:val="21"/>
                      <w:szCs w:val="21"/>
                      <w14:textFill>
                        <w14:solidFill>
                          <w14:schemeClr w14:val="tx1"/>
                        </w14:solidFill>
                      </w14:textFill>
                    </w:rPr>
                    <w:t>和臭氧协同控制，加大氮氧化物、挥</w:t>
                  </w:r>
                  <w:r>
                    <w:rPr>
                      <w:rFonts w:hint="default" w:ascii="Times New Roman" w:hAnsi="Times New Roman" w:eastAsia="宋体" w:cs="Times New Roman"/>
                      <w:color w:val="000000" w:themeColor="text1"/>
                      <w:spacing w:val="2"/>
                      <w:sz w:val="21"/>
                      <w:szCs w:val="21"/>
                      <w14:textFill>
                        <w14:solidFill>
                          <w14:schemeClr w14:val="tx1"/>
                        </w14:solidFill>
                      </w14:textFill>
                    </w:rPr>
                    <w:t>发性有机物</w:t>
                  </w: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VOCs</w:t>
                  </w: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14:textFill>
                        <w14:solidFill>
                          <w14:schemeClr w14:val="tx1"/>
                        </w14:solidFill>
                      </w14:textFill>
                    </w:rPr>
                    <w:t>和温室气体协同减排力度。推进钢铁、有色、化工、建材等行业节能低</w:t>
                  </w:r>
                  <w:r>
                    <w:rPr>
                      <w:rFonts w:hint="default" w:ascii="Times New Roman" w:hAnsi="Times New Roman" w:eastAsia="宋体" w:cs="Times New Roman"/>
                      <w:color w:val="000000" w:themeColor="text1"/>
                      <w:sz w:val="21"/>
                      <w:szCs w:val="21"/>
                      <w14:textFill>
                        <w14:solidFill>
                          <w14:schemeClr w14:val="tx1"/>
                        </w14:solidFill>
                      </w14:textFill>
                    </w:rPr>
                    <w:t>碳改造。以石化、化工、工业涂装、包装印刷、油品储运销、汽车维修</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维护</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等领域为重点，安全高效推进挥发性</w:t>
                  </w:r>
                  <w:r>
                    <w:rPr>
                      <w:rFonts w:hint="default" w:ascii="Times New Roman" w:hAnsi="Times New Roman" w:eastAsia="宋体" w:cs="Times New Roman"/>
                      <w:color w:val="000000" w:themeColor="text1"/>
                      <w:spacing w:val="-1"/>
                      <w:sz w:val="21"/>
                      <w:szCs w:val="21"/>
                      <w14:textFill>
                        <w14:solidFill>
                          <w14:schemeClr w14:val="tx1"/>
                        </w14:solidFill>
                      </w14:textFill>
                    </w:rPr>
                    <w:t>有机物综合治理，实施</w:t>
                  </w:r>
                  <w:r>
                    <w:rPr>
                      <w:rFonts w:hint="default" w:ascii="Times New Roman" w:hAnsi="Times New Roman" w:eastAsia="宋体" w:cs="Times New Roman"/>
                      <w:color w:val="000000" w:themeColor="text1"/>
                      <w:sz w:val="21"/>
                      <w:szCs w:val="21"/>
                      <w14:textFill>
                        <w14:solidFill>
                          <w14:schemeClr w14:val="tx1"/>
                        </w14:solidFill>
                      </w14:textFill>
                    </w:rPr>
                    <w:t>原辅材料和产品源头替代。明确重点行业二氧化碳排放达峰目标，开展重大项目二氧化碳排放评价，控</w:t>
                  </w:r>
                  <w:r>
                    <w:rPr>
                      <w:rFonts w:hint="default" w:ascii="Times New Roman" w:hAnsi="Times New Roman" w:eastAsia="宋体" w:cs="Times New Roman"/>
                      <w:color w:val="000000" w:themeColor="text1"/>
                      <w:spacing w:val="-1"/>
                      <w:sz w:val="21"/>
                      <w:szCs w:val="21"/>
                      <w14:textFill>
                        <w14:solidFill>
                          <w14:schemeClr w14:val="tx1"/>
                        </w14:solidFill>
                      </w14:textFill>
                    </w:rPr>
                    <w:t>制工业、交通、建筑等行业温室气体</w:t>
                  </w:r>
                  <w:r>
                    <w:rPr>
                      <w:rFonts w:hint="default" w:ascii="Times New Roman" w:hAnsi="Times New Roman" w:eastAsia="宋体" w:cs="Times New Roman"/>
                      <w:color w:val="000000" w:themeColor="text1"/>
                      <w:spacing w:val="-2"/>
                      <w:sz w:val="21"/>
                      <w:szCs w:val="21"/>
                      <w14:textFill>
                        <w14:solidFill>
                          <w14:schemeClr w14:val="tx1"/>
                        </w14:solidFill>
                      </w14:textFill>
                    </w:rPr>
                    <w:t>排放。</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生产区域、原料区、成品区</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进行三面封闭+顶棚，</w:t>
                  </w:r>
                  <w:r>
                    <w:rPr>
                      <w:rFonts w:hint="default" w:ascii="Times New Roman" w:hAnsi="Times New Roman" w:eastAsia="宋体" w:cs="Times New Roman"/>
                      <w:b w:val="0"/>
                      <w:bCs w:val="0"/>
                      <w:color w:val="000000" w:themeColor="text1"/>
                      <w:sz w:val="21"/>
                      <w:szCs w:val="21"/>
                      <w14:textFill>
                        <w14:solidFill>
                          <w14:schemeClr w14:val="tx1"/>
                        </w14:solidFill>
                      </w14:textFill>
                    </w:rPr>
                    <w:t>并设置喷淋装置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及除尘设备</w:t>
                  </w:r>
                  <w:r>
                    <w:rPr>
                      <w:rFonts w:hint="default" w:ascii="Times New Roman" w:hAnsi="Times New Roman" w:eastAsia="宋体" w:cs="Times New Roman"/>
                      <w:b w:val="0"/>
                      <w:bCs w:val="0"/>
                      <w:color w:val="000000" w:themeColor="text1"/>
                      <w:sz w:val="21"/>
                      <w:szCs w:val="21"/>
                      <w14:textFill>
                        <w14:solidFill>
                          <w14:schemeClr w14:val="tx1"/>
                        </w14:solidFill>
                      </w14:textFill>
                    </w:rPr>
                    <w:t>，采取上述措施后可有效控制扬尘产生。</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4.以祥云、鹤庆、云龙、剑川等为重金属污染重点治理区</w:t>
                  </w:r>
                  <w:r>
                    <w:rPr>
                      <w:rFonts w:hint="default" w:ascii="Times New Roman" w:hAnsi="Times New Roman" w:eastAsia="宋体" w:cs="Times New Roman"/>
                      <w:color w:val="000000" w:themeColor="text1"/>
                      <w:spacing w:val="-2"/>
                      <w:sz w:val="21"/>
                      <w:szCs w:val="21"/>
                      <w14:textFill>
                        <w14:solidFill>
                          <w14:schemeClr w14:val="tx1"/>
                        </w14:solidFill>
                      </w14:textFill>
                    </w:rPr>
                    <w:t>，以大理市经济技术开发区、鹤庆兴鹤产业园区、祥云财富产业园区等为土壤污染</w:t>
                  </w:r>
                  <w:r>
                    <w:rPr>
                      <w:rFonts w:hint="default" w:ascii="Times New Roman" w:hAnsi="Times New Roman" w:eastAsia="宋体" w:cs="Times New Roman"/>
                      <w:color w:val="000000" w:themeColor="text1"/>
                      <w:spacing w:val="-3"/>
                      <w:sz w:val="21"/>
                      <w:szCs w:val="21"/>
                      <w14:textFill>
                        <w14:solidFill>
                          <w14:schemeClr w14:val="tx1"/>
                        </w14:solidFill>
                      </w14:textFill>
                    </w:rPr>
                    <w:t>重点企业集聚区，建立完善全州土壤环境重点监管企业名单，并纳入重点污染源进行监管，实行名单动态更新。建立土</w:t>
                  </w:r>
                  <w:r>
                    <w:rPr>
                      <w:rFonts w:hint="default" w:ascii="Times New Roman" w:hAnsi="Times New Roman" w:eastAsia="宋体" w:cs="Times New Roman"/>
                      <w:color w:val="000000" w:themeColor="text1"/>
                      <w:spacing w:val="-4"/>
                      <w:sz w:val="21"/>
                      <w:szCs w:val="21"/>
                      <w14:textFill>
                        <w14:solidFill>
                          <w14:schemeClr w14:val="tx1"/>
                        </w14:solidFill>
                      </w14:textFill>
                    </w:rPr>
                    <w:t>壤污染隐患排查制度，</w:t>
                  </w:r>
                  <w:r>
                    <w:rPr>
                      <w:rFonts w:hint="default" w:ascii="Times New Roman" w:hAnsi="Times New Roman" w:eastAsia="宋体" w:cs="Times New Roman"/>
                      <w:color w:val="000000" w:themeColor="text1"/>
                      <w:spacing w:val="-1"/>
                      <w:sz w:val="21"/>
                      <w:szCs w:val="21"/>
                      <w14:textFill>
                        <w14:solidFill>
                          <w14:schemeClr w14:val="tx1"/>
                        </w14:solidFill>
                      </w14:textFill>
                    </w:rPr>
                    <w:t>保证持续有效防止有毒有害物质渗漏、流失、扬散，防范土壤污染。受污染耕地安全利用率完成</w:t>
                  </w:r>
                  <w:r>
                    <w:rPr>
                      <w:rFonts w:hint="default" w:ascii="Times New Roman" w:hAnsi="Times New Roman" w:eastAsia="宋体" w:cs="Times New Roman"/>
                      <w:color w:val="000000" w:themeColor="text1"/>
                      <w:spacing w:val="-2"/>
                      <w:sz w:val="21"/>
                      <w:szCs w:val="21"/>
                      <w14:textFill>
                        <w14:solidFill>
                          <w14:schemeClr w14:val="tx1"/>
                        </w14:solidFill>
                      </w14:textFill>
                    </w:rPr>
                    <w:t>省级下达目标，重点建设用地安全利用率有效保障。</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为云龙至永平高速公路配套砂石料加工项目，</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根据选址意见（详见附件3），已经征得相关部门同意，项目为临时项目待高速公路建成后，项目点将被取消，且后期项目区将被恢复原状。</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5.加强固体废物污染防治，建立固体废物部门联动监管长效机制，提高固体废物规范化管理水平，遏制固体废物特别是危险废</w:t>
                  </w:r>
                  <w:r>
                    <w:rPr>
                      <w:rFonts w:hint="default" w:ascii="Times New Roman" w:hAnsi="Times New Roman" w:eastAsia="宋体" w:cs="Times New Roman"/>
                      <w:color w:val="000000" w:themeColor="text1"/>
                      <w:spacing w:val="-1"/>
                      <w:sz w:val="21"/>
                      <w:szCs w:val="21"/>
                      <w14:textFill>
                        <w14:solidFill>
                          <w14:schemeClr w14:val="tx1"/>
                        </w14:solidFill>
                      </w14:textFill>
                    </w:rPr>
                    <w:t>物非法转移、</w:t>
                  </w:r>
                  <w:r>
                    <w:rPr>
                      <w:rFonts w:hint="default" w:ascii="Times New Roman" w:hAnsi="Times New Roman" w:eastAsia="宋体" w:cs="Times New Roman"/>
                      <w:color w:val="000000" w:themeColor="text1"/>
                      <w:spacing w:val="-2"/>
                      <w:sz w:val="21"/>
                      <w:szCs w:val="21"/>
                      <w14:textFill>
                        <w14:solidFill>
                          <w14:schemeClr w14:val="tx1"/>
                        </w14:solidFill>
                      </w14:textFill>
                    </w:rPr>
                    <w:t>倾倒、处置。</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运行期产生的固体废物分类</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后贮存，废土暂存于废土场，定期清运至渣土场，生活垃圾委托周边环卫部清运，废机油暂存于危废暂存间，</w:t>
                  </w:r>
                  <w:r>
                    <w:rPr>
                      <w:rFonts w:hint="default" w:ascii="Times New Roman" w:hAnsi="Times New Roman" w:eastAsia="宋体" w:cs="Times New Roman"/>
                      <w:b w:val="0"/>
                      <w:bCs w:val="0"/>
                      <w:color w:val="000000" w:themeColor="text1"/>
                      <w:sz w:val="21"/>
                      <w:szCs w:val="21"/>
                      <w14:textFill>
                        <w14:solidFill>
                          <w14:schemeClr w14:val="tx1"/>
                        </w14:solidFill>
                      </w14:textFill>
                    </w:rPr>
                    <w:t>处置率可达100%，严格落实环评提出的各项污染防治措施和环境管理要求后，不会存在固体废物特别是危险废物非法转移、倾倒、处置等现象。</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6.2025年大理州地表水国控断面达到或好于Ⅲ类水体比例应达到94.4%</w:t>
                  </w:r>
                  <w:r>
                    <w:rPr>
                      <w:rFonts w:hint="default" w:ascii="Times New Roman" w:hAnsi="Times New Roman" w:eastAsia="宋体" w:cs="Times New Roman"/>
                      <w:color w:val="000000" w:themeColor="text1"/>
                      <w:spacing w:val="1"/>
                      <w:sz w:val="21"/>
                      <w:szCs w:val="21"/>
                      <w14:textFill>
                        <w14:solidFill>
                          <w14:schemeClr w14:val="tx1"/>
                        </w14:solidFill>
                      </w14:textFill>
                    </w:rPr>
                    <w:t>,地表水国控断面劣V类水体比例应为0,洱海湖心断面</w:t>
                  </w:r>
                  <w:r>
                    <w:rPr>
                      <w:rFonts w:hint="eastAsia" w:ascii="Times New Roman" w:hAnsi="Times New Roman" w:eastAsia="宋体"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洱海湖心、</w:t>
                  </w:r>
                  <w:r>
                    <w:rPr>
                      <w:rFonts w:hint="default" w:ascii="Times New Roman" w:hAnsi="Times New Roman" w:eastAsia="宋体" w:cs="Times New Roman"/>
                      <w:color w:val="000000" w:themeColor="text1"/>
                      <w:spacing w:val="-1"/>
                      <w:sz w:val="21"/>
                      <w:szCs w:val="21"/>
                      <w14:textFill>
                        <w14:solidFill>
                          <w14:schemeClr w14:val="tx1"/>
                        </w14:solidFill>
                      </w14:textFill>
                    </w:rPr>
                    <w:t>洱海北部湖心及小关邑</w:t>
                  </w:r>
                  <w:r>
                    <w:rPr>
                      <w:rFonts w:hint="eastAsia" w:ascii="Times New Roman" w:hAnsi="Times New Roman" w:eastAsia="宋体" w:cs="Times New Roman"/>
                      <w:color w:val="000000" w:themeColor="text1"/>
                      <w:spacing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水质达到Ⅱ类。</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7.加大环境污染物减排力度，到2025年，化学需氧量、氨氮、氮氧化物、挥发性</w:t>
                  </w:r>
                  <w:r>
                    <w:rPr>
                      <w:rFonts w:hint="default" w:ascii="Times New Roman" w:hAnsi="Times New Roman" w:eastAsia="宋体" w:cs="Times New Roman"/>
                      <w:color w:val="000000" w:themeColor="text1"/>
                      <w:spacing w:val="1"/>
                      <w:sz w:val="21"/>
                      <w:szCs w:val="21"/>
                      <w14:textFill>
                        <w14:solidFill>
                          <w14:schemeClr w14:val="tx1"/>
                        </w14:solidFill>
                      </w14:textFill>
                    </w:rPr>
                    <w:t>有机物排放总量等主要污染物重点工程减排量为5142吨、</w:t>
                  </w:r>
                  <w:r>
                    <w:rPr>
                      <w:rFonts w:hint="default" w:ascii="Times New Roman" w:hAnsi="Times New Roman" w:eastAsia="宋体" w:cs="Times New Roman"/>
                      <w:color w:val="000000" w:themeColor="text1"/>
                      <w:spacing w:val="-1"/>
                      <w:sz w:val="21"/>
                      <w:szCs w:val="21"/>
                      <w14:textFill>
                        <w14:solidFill>
                          <w14:schemeClr w14:val="tx1"/>
                        </w14:solidFill>
                      </w14:textFill>
                    </w:rPr>
                    <w:t>206吨、1010吨、445吨。</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项目粉尘经喷淋</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+除尘</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+厂房阻隔后达标排放</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8.加强重金属污染防治，严格环境准入管理。到2025年，重点行业重点重金属污染物排放量</w:t>
                  </w:r>
                  <w:r>
                    <w:rPr>
                      <w:rFonts w:hint="default" w:ascii="Times New Roman" w:hAnsi="Times New Roman" w:eastAsia="宋体" w:cs="Times New Roman"/>
                      <w:color w:val="000000" w:themeColor="text1"/>
                      <w:spacing w:val="-1"/>
                      <w:sz w:val="21"/>
                      <w:szCs w:val="21"/>
                      <w14:textFill>
                        <w14:solidFill>
                          <w14:schemeClr w14:val="tx1"/>
                        </w14:solidFill>
                      </w14:textFill>
                    </w:rPr>
                    <w:t>比2020年下降10%</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本项目不涉及重金属污染物的排放。</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9.到2025年，大理州州府所在地大理市</w:t>
                  </w:r>
                  <w:r>
                    <w:rPr>
                      <w:rFonts w:hint="default" w:ascii="Times New Roman" w:hAnsi="Times New Roman" w:eastAsia="宋体" w:cs="Times New Roman"/>
                      <w:color w:val="000000" w:themeColor="text1"/>
                      <w:sz w:val="21"/>
                      <w:szCs w:val="21"/>
                      <w14:textFill>
                        <w14:solidFill>
                          <w14:schemeClr w14:val="tx1"/>
                        </w14:solidFill>
                      </w14:textFill>
                    </w:rPr>
                    <w:t>PM</w:t>
                  </w:r>
                  <w:r>
                    <w:rPr>
                      <w:rFonts w:hint="eastAsia" w:ascii="Times New Roman" w:hAnsi="Times New Roman" w:eastAsia="宋体" w:cs="Times New Roman"/>
                      <w:color w:val="000000" w:themeColor="text1"/>
                      <w:spacing w:val="2"/>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pacing w:val="2"/>
                      <w:sz w:val="21"/>
                      <w:szCs w:val="21"/>
                      <w14:textFill>
                        <w14:solidFill>
                          <w14:schemeClr w14:val="tx1"/>
                        </w14:solidFill>
                      </w14:textFill>
                    </w:rPr>
                    <w:t>监测值不得超过15μg/m</w:t>
                  </w:r>
                  <w:r>
                    <w:rPr>
                      <w:rFonts w:hint="default" w:ascii="Times New Roman" w:hAnsi="Times New Roman" w:eastAsia="宋体" w:cs="Times New Roman"/>
                      <w:color w:val="000000" w:themeColor="text1"/>
                      <w:spacing w:val="1"/>
                      <w:sz w:val="21"/>
                      <w:szCs w:val="21"/>
                      <w14:textFill>
                        <w14:solidFill>
                          <w14:schemeClr w14:val="tx1"/>
                        </w14:solidFill>
                      </w14:textFill>
                    </w:rPr>
                    <w:t>³,城市空气质量优良天数比例不得低于99.7%,无重污染天数。</w:t>
                  </w:r>
                </w:p>
              </w:tc>
              <w:tc>
                <w:tcPr>
                  <w:tcW w:w="2439" w:type="dxa"/>
                  <w:vAlign w:val="center"/>
                </w:tcPr>
                <w:p>
                  <w:pPr>
                    <w:pStyle w:val="10"/>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位于云龙县长新乡龙子潭，不在</w:t>
                  </w:r>
                  <w:r>
                    <w:rPr>
                      <w:rFonts w:hint="eastAsia"/>
                      <w:lang w:eastAsia="zh-CN"/>
                    </w:rPr>
                    <w:t>大理州州府所在地，</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且</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生产区域、原料区、成品区</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进行封闭+顶棚，</w:t>
                  </w:r>
                  <w:r>
                    <w:rPr>
                      <w:rFonts w:hint="default" w:ascii="Times New Roman" w:hAnsi="Times New Roman" w:eastAsia="宋体" w:cs="Times New Roman"/>
                      <w:b w:val="0"/>
                      <w:bCs w:val="0"/>
                      <w:color w:val="000000" w:themeColor="text1"/>
                      <w:sz w:val="21"/>
                      <w:szCs w:val="21"/>
                      <w14:textFill>
                        <w14:solidFill>
                          <w14:schemeClr w14:val="tx1"/>
                        </w14:solidFill>
                      </w14:textFill>
                    </w:rPr>
                    <w:t>并设置喷淋装置，采取上述措施后可有效控制扬尘产生。</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到2025年，全州农村生活污水治理率达52.20%,生活垃圾处理设施覆盖率达到80%以上，城市生活垃圾资源化利用率达到60%左右，焚烧处理能力占无害化处理能力比重达到65%左右，城市污泥无害化处置率达到90%以上。农村卫生户厕覆盖率达到70%以上，农膜回收率达到85%以上，农作物秸秆综合利用率稳定在</w:t>
                  </w:r>
                  <w:r>
                    <w:rPr>
                      <w:rFonts w:hint="default" w:ascii="Times New Roman" w:hAnsi="Times New Roman" w:eastAsia="宋体" w:cs="Times New Roman"/>
                      <w:color w:val="000000" w:themeColor="text1"/>
                      <w:spacing w:val="-1"/>
                      <w:sz w:val="21"/>
                      <w:szCs w:val="21"/>
                      <w14:textFill>
                        <w14:solidFill>
                          <w14:schemeClr w14:val="tx1"/>
                        </w14:solidFill>
                      </w14:textFill>
                    </w:rPr>
                    <w:t>86%以上。</w:t>
                  </w:r>
                </w:p>
              </w:tc>
              <w:tc>
                <w:tcPr>
                  <w:tcW w:w="2439"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14:textFill>
                        <w14:solidFill>
                          <w14:schemeClr w14:val="tx1"/>
                        </w14:solidFill>
                      </w14:textFill>
                    </w:rPr>
                    <w:t>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生活垃圾经收集后委托周围环卫部清运处理，不对周围产生影响。</w:t>
                  </w:r>
                </w:p>
              </w:tc>
              <w:tc>
                <w:tcPr>
                  <w:tcW w:w="602" w:type="dxa"/>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环境风险防控</w:t>
                  </w: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1.加强环境风险防控和应急管理，完善突发环境事件应急预案，强化落实政府主导</w:t>
                  </w:r>
                  <w:r>
                    <w:rPr>
                      <w:rFonts w:hint="default" w:ascii="Times New Roman" w:hAnsi="Times New Roman" w:eastAsia="宋体" w:cs="Times New Roman"/>
                      <w:color w:val="000000" w:themeColor="text1"/>
                      <w:spacing w:val="-2"/>
                      <w:sz w:val="21"/>
                      <w:szCs w:val="21"/>
                      <w14:textFill>
                        <w14:solidFill>
                          <w14:schemeClr w14:val="tx1"/>
                        </w14:solidFill>
                      </w14:textFill>
                    </w:rPr>
                    <w:t>、部门协调、分级负责、属地为主、全社会参与的环境风</w:t>
                  </w:r>
                  <w:r>
                    <w:rPr>
                      <w:rFonts w:hint="default" w:ascii="Times New Roman" w:hAnsi="Times New Roman" w:eastAsia="宋体" w:cs="Times New Roman"/>
                      <w:color w:val="000000" w:themeColor="text1"/>
                      <w:sz w:val="21"/>
                      <w:szCs w:val="21"/>
                      <w14:textFill>
                        <w14:solidFill>
                          <w14:schemeClr w14:val="tx1"/>
                        </w14:solidFill>
                      </w14:textFill>
                    </w:rPr>
                    <w:t>险管控机制，定期开展环境风险隐患排查与整治，提升风险防控和突发环境事件</w:t>
                  </w:r>
                  <w:r>
                    <w:rPr>
                      <w:rFonts w:hint="default" w:ascii="Times New Roman" w:hAnsi="Times New Roman" w:eastAsia="宋体" w:cs="Times New Roman"/>
                      <w:color w:val="000000" w:themeColor="text1"/>
                      <w:spacing w:val="-1"/>
                      <w:sz w:val="21"/>
                      <w:szCs w:val="21"/>
                      <w14:textFill>
                        <w14:solidFill>
                          <w14:schemeClr w14:val="tx1"/>
                        </w14:solidFill>
                      </w14:textFill>
                    </w:rPr>
                    <w:t>应急处理处置能力。</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建设单位按国家、地方及行业相关规范要求制定突发环境事件应急预案，运营过程中环境风险防控和应急管理严格按照应急预案相关要求执行。</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2.严格落实以洱海为重点的饮用水水源地应急防控工作机制，确</w:t>
                  </w:r>
                  <w:r>
                    <w:rPr>
                      <w:rFonts w:hint="default" w:ascii="Times New Roman" w:hAnsi="Times New Roman" w:eastAsia="宋体" w:cs="Times New Roman"/>
                      <w:color w:val="000000" w:themeColor="text1"/>
                      <w:spacing w:val="-5"/>
                      <w:sz w:val="21"/>
                      <w:szCs w:val="21"/>
                      <w14:textFill>
                        <w14:solidFill>
                          <w14:schemeClr w14:val="tx1"/>
                        </w14:solidFill>
                      </w14:textFill>
                    </w:rPr>
                    <w:t>保饮用水水源安全。加强</w:t>
                  </w:r>
                  <w:r>
                    <w:rPr>
                      <w:rFonts w:hint="default" w:ascii="Times New Roman" w:hAnsi="Times New Roman" w:eastAsia="宋体" w:cs="Times New Roman"/>
                      <w:color w:val="000000" w:themeColor="text1"/>
                      <w:spacing w:val="-5"/>
                      <w:sz w:val="21"/>
                      <w:szCs w:val="21"/>
                      <w:lang w:val="en-US" w:eastAsia="zh-CN"/>
                      <w14:textFill>
                        <w14:solidFill>
                          <w14:schemeClr w14:val="tx1"/>
                        </w14:solidFill>
                      </w14:textFill>
                    </w:rPr>
                    <w:t>沘</w:t>
                  </w:r>
                  <w:r>
                    <w:rPr>
                      <w:rFonts w:hint="default" w:ascii="Times New Roman" w:hAnsi="Times New Roman" w:eastAsia="宋体" w:cs="Times New Roman"/>
                      <w:color w:val="000000" w:themeColor="text1"/>
                      <w:spacing w:val="-5"/>
                      <w:sz w:val="21"/>
                      <w:szCs w:val="21"/>
                      <w14:textFill>
                        <w14:solidFill>
                          <w14:schemeClr w14:val="tx1"/>
                        </w14:solidFill>
                      </w14:textFill>
                    </w:rPr>
                    <w:t>江一交汇口、黑惠江一徐村桥、顺澳河一顺澳桥、</w:t>
                  </w:r>
                  <w:r>
                    <w:rPr>
                      <w:rFonts w:hint="default" w:ascii="Times New Roman" w:hAnsi="Times New Roman" w:eastAsia="宋体" w:cs="Times New Roman"/>
                      <w:color w:val="000000" w:themeColor="text1"/>
                      <w:spacing w:val="-2"/>
                      <w:sz w:val="21"/>
                      <w:szCs w:val="21"/>
                      <w14:textFill>
                        <w14:solidFill>
                          <w14:schemeClr w14:val="tx1"/>
                        </w14:solidFill>
                      </w14:textFill>
                    </w:rPr>
                    <w:t>永平河—水泄、漾弓江一中江、礼社江一回辉登、李仙江—安定等优良水质断面的水环境风险防控。</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本项目厂址不在洱海流域划定范围内</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color w:val="000000" w:themeColor="text1"/>
                      <w:spacing w:val="-4"/>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3.加强对长期水质优良断面的环境监管，密切关注主要污染指标浓度值变化，注重风险管控预防，重点推进断面流域内农业农村面</w:t>
                  </w:r>
                  <w:r>
                    <w:rPr>
                      <w:rFonts w:hint="default" w:ascii="Times New Roman" w:hAnsi="Times New Roman" w:eastAsia="宋体" w:cs="Times New Roman"/>
                      <w:color w:val="000000" w:themeColor="text1"/>
                      <w:spacing w:val="-2"/>
                      <w:sz w:val="21"/>
                      <w:szCs w:val="21"/>
                      <w14:textFill>
                        <w14:solidFill>
                          <w14:schemeClr w14:val="tx1"/>
                        </w14:solidFill>
                      </w14:textFill>
                    </w:rPr>
                    <w:t>源污染控</w:t>
                  </w:r>
                  <w:r>
                    <w:rPr>
                      <w:rFonts w:hint="default" w:ascii="Times New Roman" w:hAnsi="Times New Roman" w:eastAsia="宋体" w:cs="Times New Roman"/>
                      <w:color w:val="000000" w:themeColor="text1"/>
                      <w:sz w:val="21"/>
                      <w:szCs w:val="21"/>
                      <w14:textFill>
                        <w14:solidFill>
                          <w14:schemeClr w14:val="tx1"/>
                        </w14:solidFill>
                      </w14:textFill>
                    </w:rPr>
                    <w:t>制、城镇生活污染源和工业污染治理等，防</w:t>
                  </w:r>
                  <w:r>
                    <w:rPr>
                      <w:rFonts w:hint="default" w:ascii="Times New Roman" w:hAnsi="Times New Roman" w:eastAsia="宋体" w:cs="Times New Roman"/>
                      <w:color w:val="000000" w:themeColor="text1"/>
                      <w:spacing w:val="-1"/>
                      <w:sz w:val="21"/>
                      <w:szCs w:val="21"/>
                      <w14:textFill>
                        <w14:solidFill>
                          <w14:schemeClr w14:val="tx1"/>
                        </w14:solidFill>
                      </w14:textFill>
                    </w:rPr>
                    <w:t>止“好水变差”。</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项目采用雨污分流制，</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项目产生的厨房废水经油水分离器（≥0.3m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）隔油处理后连同生活清洗废水一并进入生活污水收集池（1m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），经收集池沉淀后用于厂区洒水降尘，不外排；项目配套设置旱厕（3m</w:t>
                  </w:r>
                  <w:r>
                    <w:rPr>
                      <w:rFonts w:hint="eastAsia"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），定期清掏用于项目周边农田施肥，不外排。</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初期雨水收集池雨水收集后回用于场地洒水降尘，不外排</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生产废水循环使用，不外排，不会</w:t>
                  </w:r>
                  <w:r>
                    <w:rPr>
                      <w:rFonts w:hint="default" w:ascii="Times New Roman" w:hAnsi="Times New Roman" w:eastAsia="宋体" w:cs="Times New Roman"/>
                      <w:b w:val="0"/>
                      <w:bCs w:val="0"/>
                      <w:color w:val="000000" w:themeColor="text1"/>
                      <w:sz w:val="21"/>
                      <w:szCs w:val="21"/>
                      <w14:textFill>
                        <w14:solidFill>
                          <w14:schemeClr w14:val="tx1"/>
                        </w14:solidFill>
                      </w14:textFill>
                    </w:rPr>
                    <w:t>影响周边地表水环境</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4.严格尾矿库项目准入，健全完善尾矿库污染防治的长效机制，杜绝非不可抗力因素导致的尾矿库突</w:t>
                  </w:r>
                  <w:r>
                    <w:rPr>
                      <w:rFonts w:hint="default" w:ascii="Times New Roman" w:hAnsi="Times New Roman" w:eastAsia="宋体" w:cs="Times New Roman"/>
                      <w:color w:val="000000" w:themeColor="text1"/>
                      <w:spacing w:val="-1"/>
                      <w:sz w:val="21"/>
                      <w:szCs w:val="21"/>
                      <w14:textFill>
                        <w14:solidFill>
                          <w14:schemeClr w14:val="tx1"/>
                        </w14:solidFill>
                      </w14:textFill>
                    </w:rPr>
                    <w:t>发环境事件。</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本项目为</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砂石料加工</w:t>
                  </w:r>
                  <w:r>
                    <w:rPr>
                      <w:rFonts w:hint="default" w:ascii="Times New Roman" w:hAnsi="Times New Roman" w:eastAsia="宋体" w:cs="Times New Roman"/>
                      <w:b w:val="0"/>
                      <w:bCs w:val="0"/>
                      <w:color w:val="000000" w:themeColor="text1"/>
                      <w:sz w:val="21"/>
                      <w:szCs w:val="21"/>
                      <w14:textFill>
                        <w14:solidFill>
                          <w14:schemeClr w14:val="tx1"/>
                        </w14:solidFill>
                      </w14:textFill>
                    </w:rPr>
                    <w:t>，不属于尾矿库项目。</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资源开发利用效率</w:t>
                  </w:r>
                </w:p>
              </w:tc>
              <w:tc>
                <w:tcPr>
                  <w:tcW w:w="3598" w:type="dxa"/>
                  <w:vAlign w:val="center"/>
                </w:tcPr>
                <w:p>
                  <w:pPr>
                    <w:keepNext w:val="0"/>
                    <w:keepLines w:val="0"/>
                    <w:pageBreakBefore w:val="0"/>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1.强化约束性指标管理，降低水、土地、能源、矿产等</w:t>
                  </w:r>
                  <w:r>
                    <w:rPr>
                      <w:rFonts w:hint="default" w:ascii="Times New Roman" w:hAnsi="Times New Roman" w:eastAsia="宋体" w:cs="Times New Roman"/>
                      <w:color w:val="000000" w:themeColor="text1"/>
                      <w:spacing w:val="-1"/>
                      <w:sz w:val="21"/>
                      <w:szCs w:val="21"/>
                      <w14:textFill>
                        <w14:solidFill>
                          <w14:schemeClr w14:val="tx1"/>
                        </w14:solidFill>
                      </w14:textFill>
                    </w:rPr>
                    <w:t>资源消耗强度。</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项目为临时工程</w:t>
                  </w:r>
                  <w:r>
                    <w:rPr>
                      <w:rFonts w:hint="default" w:ascii="Times New Roman" w:hAnsi="Times New Roman" w:eastAsia="宋体" w:cs="Times New Roman"/>
                      <w:b w:val="0"/>
                      <w:bCs w:val="0"/>
                      <w:color w:val="000000" w:themeColor="text1"/>
                      <w:sz w:val="21"/>
                      <w:szCs w:val="21"/>
                      <w14:textFill>
                        <w14:solidFill>
                          <w14:schemeClr w14:val="tx1"/>
                        </w14:solidFill>
                      </w14:textFill>
                    </w:rPr>
                    <w:t>，项目年生产时长短，水资源消耗量低。</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2.实行最严格的水资源管理制度，严格用水总量、强度指标管理，严格取水管控，建立</w:t>
                  </w:r>
                  <w:r>
                    <w:rPr>
                      <w:rFonts w:hint="default" w:ascii="Times New Roman" w:hAnsi="Times New Roman" w:eastAsia="宋体" w:cs="Times New Roman"/>
                      <w:color w:val="000000" w:themeColor="text1"/>
                      <w:spacing w:val="-5"/>
                      <w:sz w:val="21"/>
                      <w:szCs w:val="21"/>
                      <w14:textFill>
                        <w14:solidFill>
                          <w14:schemeClr w14:val="tx1"/>
                        </w14:solidFill>
                      </w14:textFill>
                    </w:rPr>
                    <w:t>重点监控取水单位名录，强化重点监控取水单位管理。</w:t>
                  </w:r>
                  <w:r>
                    <w:rPr>
                      <w:rFonts w:hint="default" w:ascii="Times New Roman" w:hAnsi="Times New Roman" w:eastAsia="宋体" w:cs="Times New Roman"/>
                      <w:color w:val="000000" w:themeColor="text1"/>
                      <w:spacing w:val="-1"/>
                      <w:sz w:val="21"/>
                      <w:szCs w:val="21"/>
                      <w14:textFill>
                        <w14:solidFill>
                          <w14:schemeClr w14:val="tx1"/>
                        </w14:solidFill>
                      </w14:textFill>
                    </w:rPr>
                    <w:t>到2025年，全州用水总量控制在14.5亿立方米、万元工业用</w:t>
                  </w:r>
                  <w:r>
                    <w:rPr>
                      <w:rFonts w:hint="default" w:ascii="Times New Roman" w:hAnsi="Times New Roman" w:eastAsia="宋体" w:cs="Times New Roman"/>
                      <w:color w:val="000000" w:themeColor="text1"/>
                      <w:spacing w:val="-2"/>
                      <w:sz w:val="21"/>
                      <w:szCs w:val="21"/>
                      <w14:textFill>
                        <w14:solidFill>
                          <w14:schemeClr w14:val="tx1"/>
                        </w14:solidFill>
                      </w14:textFill>
                    </w:rPr>
                    <w:t>水量比2020年下降16%。</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本项目不属于重点取水单位。</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3.坚持最严格的耕地保护制度，严守耕地保护底线不突破。坚持节约用地，严格执行耕地占补平衡等制度，提高土地投资强度和单</w:t>
                  </w:r>
                  <w:r>
                    <w:rPr>
                      <w:rFonts w:hint="default" w:ascii="Times New Roman" w:hAnsi="Times New Roman" w:eastAsia="宋体" w:cs="Times New Roman"/>
                      <w:color w:val="000000" w:themeColor="text1"/>
                      <w:spacing w:val="-2"/>
                      <w:sz w:val="21"/>
                      <w:szCs w:val="21"/>
                      <w14:textFill>
                        <w14:solidFill>
                          <w14:schemeClr w14:val="tx1"/>
                        </w14:solidFill>
                      </w14:textFill>
                    </w:rPr>
                    <w:t>位面积产出水平。</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本项目位于</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项目为临时用地，待建设结束后恢复土地</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shd w:val="clear" w:color="auto" w:fill="auto"/>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jc w:val="both"/>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4.全州单位GDP能耗持续下降，能耗增量控制目标达到省考核要求。</w:t>
                  </w:r>
                </w:p>
              </w:tc>
              <w:tc>
                <w:tcPr>
                  <w:tcW w:w="2439" w:type="dxa"/>
                  <w:shd w:val="clear" w:color="auto" w:fill="auto"/>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jc w:val="both"/>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项目运营期使用电能、水，其使用量占区域资源量较少。</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p>
              </w:tc>
              <w:tc>
                <w:tcPr>
                  <w:tcW w:w="3598"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5.不再新建30万吨/年以下露天铁矿、10万吨/年以下地下铁矿。原则上不再新建年产矿石量30万吨以下的铜矿。不再新建日处理岩金矿石</w:t>
                  </w:r>
                  <w:r>
                    <w:rPr>
                      <w:rFonts w:hint="default" w:ascii="Times New Roman" w:hAnsi="Times New Roman" w:eastAsia="宋体" w:cs="Times New Roman"/>
                      <w:color w:val="000000" w:themeColor="text1"/>
                      <w:spacing w:val="1"/>
                      <w:sz w:val="21"/>
                      <w:szCs w:val="21"/>
                      <w14:textFill>
                        <w14:solidFill>
                          <w14:schemeClr w14:val="tx1"/>
                        </w14:solidFill>
                      </w14:textFill>
                    </w:rPr>
                    <w:t>300吨以下的露天采选项目、100吨以下的地下采选项目。不再新建60万吨/年以</w:t>
                  </w:r>
                  <w:r>
                    <w:rPr>
                      <w:rFonts w:hint="default" w:ascii="Times New Roman" w:hAnsi="Times New Roman" w:eastAsia="宋体" w:cs="Times New Roman"/>
                      <w:color w:val="000000" w:themeColor="text1"/>
                      <w:sz w:val="21"/>
                      <w:szCs w:val="21"/>
                      <w14:textFill>
                        <w14:solidFill>
                          <w14:schemeClr w14:val="tx1"/>
                        </w14:solidFill>
                      </w14:textFill>
                    </w:rPr>
                    <w:t>下矿</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井</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盐项目等准入要求。限制开采高硫、高砷、高灰、</w:t>
                  </w:r>
                  <w:r>
                    <w:rPr>
                      <w:rFonts w:hint="default" w:ascii="Times New Roman" w:hAnsi="Times New Roman" w:eastAsia="宋体" w:cs="Times New Roman"/>
                      <w:color w:val="000000" w:themeColor="text1"/>
                      <w:spacing w:val="-1"/>
                      <w:sz w:val="21"/>
                      <w:szCs w:val="21"/>
                      <w14:textFill>
                        <w14:solidFill>
                          <w14:schemeClr w14:val="tx1"/>
                        </w14:solidFill>
                      </w14:textFill>
                    </w:rPr>
                    <w:t>高氟煤、砂金、砂铁。禁止开采可耕地砖瓦</w:t>
                  </w:r>
                  <w:r>
                    <w:rPr>
                      <w:rFonts w:hint="default" w:ascii="Times New Roman" w:hAnsi="Times New Roman" w:eastAsia="宋体" w:cs="Times New Roman"/>
                      <w:color w:val="000000" w:themeColor="text1"/>
                      <w:spacing w:val="-2"/>
                      <w:sz w:val="21"/>
                      <w:szCs w:val="21"/>
                      <w14:textFill>
                        <w14:solidFill>
                          <w14:schemeClr w14:val="tx1"/>
                        </w14:solidFill>
                      </w14:textFill>
                    </w:rPr>
                    <w:t>用粘土、原生汞矿。</w:t>
                  </w:r>
                </w:p>
              </w:tc>
              <w:tc>
                <w:tcPr>
                  <w:tcW w:w="2439" w:type="dxa"/>
                  <w:vAlign w:val="center"/>
                </w:tcPr>
                <w:p>
                  <w:pPr>
                    <w:keepNext w:val="0"/>
                    <w:keepLines w:val="0"/>
                    <w:pageBreakBefore w:val="0"/>
                    <w:widowControl/>
                    <w:kinsoku/>
                    <w:wordWrap/>
                    <w:overflowPunct/>
                    <w:topLinePunct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项目原料来源于隧道洞渣，不涉及采矿。</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restart"/>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云龙县土壤污染重点管控单元</w:t>
                  </w: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一</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空间布局约束</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1.禁止将重金属或者其他有毒有害物质含量超标的工业固体废物、生活垃圾或者污染土壤用于土地复垦。</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2.如强严格管控类耕地的用途管理，依法划定特定农产品禁止生产区域，严禁种植食用农产品:对威胁地下水、饮用水水源安全的，制定环境风险管控方案，并落实有关措施。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3.严格执行有色金属冶炼行业环境准入要求，涉重金属行业分布集中、产业</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规</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模大、环境问题突出的地区，制定实施严格的地方污染物排放标准和环境准入标准，依法关停达标无望、治理整顿后仍不能稳定达标的涉重金属企业。</w:t>
                  </w:r>
                </w:p>
              </w:tc>
              <w:tc>
                <w:tcPr>
                  <w:tcW w:w="2439" w:type="dxa"/>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或者其他有毒有害物质含量超标的工业固体废物、生活垃圾</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污染土壤</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（2）项目砂石料加工，不涉及种植业。</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（3）项目砂石料加工，不涉及</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有色金属冶炼行业</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二</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污染物排放管控</w:t>
                  </w:r>
                </w:p>
                <w:p>
                  <w:pPr>
                    <w:spacing w:before="45" w:line="251" w:lineRule="auto"/>
                    <w:ind w:left="122" w:right="16" w:firstLine="29"/>
                    <w:rPr>
                      <w:rFonts w:ascii="宋体" w:hAnsi="宋体" w:eastAsia="宋体" w:cs="宋体"/>
                      <w:sz w:val="21"/>
                      <w:szCs w:val="21"/>
                    </w:rPr>
                  </w:pPr>
                  <w:r>
                    <w:rPr>
                      <w:rFonts w:ascii="宋体" w:hAnsi="宋体" w:eastAsia="宋体" w:cs="宋体"/>
                      <w:sz w:val="21"/>
                      <w:szCs w:val="21"/>
                    </w:rPr>
                    <w:t>1.加强现有有关行业企业的环境监管，鼓励企业采用新技术、新工艺，提高生产技术和污染治理水平，加快提标升级改</w:t>
                  </w:r>
                  <w:r>
                    <w:rPr>
                      <w:rFonts w:ascii="宋体" w:hAnsi="宋体" w:eastAsia="宋体" w:cs="宋体"/>
                      <w:spacing w:val="-1"/>
                      <w:sz w:val="21"/>
                      <w:szCs w:val="21"/>
                    </w:rPr>
                    <w:t>造和深度治理，确保稳定达到排放标准。</w:t>
                  </w:r>
                </w:p>
                <w:p>
                  <w:pPr>
                    <w:spacing w:before="38" w:line="260" w:lineRule="auto"/>
                    <w:ind w:left="122" w:right="65"/>
                    <w:rPr>
                      <w:rFonts w:ascii="宋体" w:hAnsi="宋体" w:eastAsia="宋体" w:cs="宋体"/>
                      <w:sz w:val="21"/>
                      <w:szCs w:val="21"/>
                    </w:rPr>
                  </w:pPr>
                  <w:r>
                    <w:rPr>
                      <w:rFonts w:ascii="宋体" w:hAnsi="宋体" w:eastAsia="宋体" w:cs="宋体"/>
                      <w:sz w:val="21"/>
                      <w:szCs w:val="21"/>
                    </w:rPr>
                    <w:t>2.严格执行重金属污染物排放标准要求和总量控制制度，依法实施强制性清洁生产审核，采</w:t>
                  </w:r>
                  <w:r>
                    <w:rPr>
                      <w:rFonts w:ascii="宋体" w:hAnsi="宋体" w:eastAsia="宋体" w:cs="宋体"/>
                      <w:spacing w:val="-1"/>
                      <w:sz w:val="21"/>
                      <w:szCs w:val="21"/>
                    </w:rPr>
                    <w:t>用先进适用的生产工艺和技</w:t>
                  </w:r>
                  <w:r>
                    <w:rPr>
                      <w:rFonts w:ascii="宋体" w:hAnsi="宋体" w:eastAsia="宋体" w:cs="宋体"/>
                      <w:sz w:val="21"/>
                      <w:szCs w:val="21"/>
                    </w:rPr>
                    <w:t>术，减少重金属污染物排放。主要涉重金属行业重金属排放强度低于全</w:t>
                  </w:r>
                  <w:r>
                    <w:rPr>
                      <w:rFonts w:ascii="宋体" w:hAnsi="宋体" w:eastAsia="宋体" w:cs="宋体"/>
                      <w:spacing w:val="-1"/>
                      <w:sz w:val="21"/>
                      <w:szCs w:val="21"/>
                    </w:rPr>
                    <w:t>国平均水平。</w:t>
                  </w:r>
                </w:p>
                <w:p>
                  <w:pPr>
                    <w:spacing w:before="19" w:line="219" w:lineRule="auto"/>
                    <w:ind w:left="122"/>
                    <w:rPr>
                      <w:rFonts w:ascii="宋体" w:hAnsi="宋体" w:eastAsia="宋体" w:cs="宋体"/>
                      <w:sz w:val="21"/>
                      <w:szCs w:val="21"/>
                    </w:rPr>
                  </w:pPr>
                  <w:r>
                    <w:rPr>
                      <w:rFonts w:ascii="宋体" w:hAnsi="宋体" w:eastAsia="宋体" w:cs="宋体"/>
                      <w:sz w:val="21"/>
                      <w:szCs w:val="21"/>
                    </w:rPr>
                    <w:t>3.禁止在土壤中使用重金属含量超标的降阻产品。禁止重金属或其他有毒有害物质含量超标污</w:t>
                  </w:r>
                  <w:r>
                    <w:rPr>
                      <w:rFonts w:ascii="宋体" w:hAnsi="宋体" w:eastAsia="宋体" w:cs="宋体"/>
                      <w:spacing w:val="-1"/>
                      <w:sz w:val="21"/>
                      <w:szCs w:val="21"/>
                    </w:rPr>
                    <w:t>泥进入农用地。</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ascii="宋体" w:hAnsi="宋体" w:eastAsia="宋体" w:cs="宋体"/>
                      <w:sz w:val="21"/>
                      <w:szCs w:val="21"/>
                    </w:rPr>
                    <w:t>4.禁止使用重金属等有毒有害物质超标的肥料，严禁未处理或检测不合格的粪肥直接用于农田。禁止使用高毒、高残留</w:t>
                  </w:r>
                  <w:r>
                    <w:rPr>
                      <w:rFonts w:ascii="宋体" w:hAnsi="宋体" w:eastAsia="宋体" w:cs="宋体"/>
                      <w:spacing w:val="-1"/>
                      <w:sz w:val="21"/>
                      <w:szCs w:val="21"/>
                    </w:rPr>
                    <w:t>农药。农田灌溉用水应符合水质标准，防止土壤污染</w:t>
                  </w:r>
                </w:p>
              </w:tc>
              <w:tc>
                <w:tcPr>
                  <w:tcW w:w="2439" w:type="dxa"/>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w:t>
                  </w:r>
                  <w:r>
                    <w:rPr>
                      <w:rFonts w:hint="default" w:ascii="Times New Roman" w:hAnsi="Times New Roman" w:eastAsia="宋体" w:cs="Times New Roman"/>
                      <w:b w:val="0"/>
                      <w:bCs w:val="0"/>
                      <w:color w:val="000000" w:themeColor="text1"/>
                      <w:sz w:val="21"/>
                      <w:szCs w:val="21"/>
                      <w14:textFill>
                        <w14:solidFill>
                          <w14:schemeClr w14:val="tx1"/>
                        </w14:solidFill>
                      </w14:textFill>
                    </w:rPr>
                    <w:t>项目</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生产区域、原料区、成品区</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进行三面封闭+顶棚，</w:t>
                  </w:r>
                  <w:r>
                    <w:rPr>
                      <w:rFonts w:hint="default" w:ascii="Times New Roman" w:hAnsi="Times New Roman" w:eastAsia="宋体" w:cs="Times New Roman"/>
                      <w:b w:val="0"/>
                      <w:bCs w:val="0"/>
                      <w:color w:val="000000" w:themeColor="text1"/>
                      <w:sz w:val="21"/>
                      <w:szCs w:val="21"/>
                      <w14:textFill>
                        <w14:solidFill>
                          <w14:schemeClr w14:val="tx1"/>
                        </w14:solidFill>
                      </w14:textFill>
                    </w:rPr>
                    <w:t>并设置喷淋装置，采取上述措施后</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能</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稳定达到排放标准</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为砂石料加工，原料为隧道渣土，不涉及重金属原料，也不产生重金属。</w:t>
                  </w:r>
                </w:p>
                <w:p>
                  <w:pPr>
                    <w:keepNext w:val="0"/>
                    <w:keepLines w:val="0"/>
                    <w:pageBreakBefore w:val="0"/>
                    <w:kinsoku/>
                    <w:wordWrap/>
                    <w:overflowPunct/>
                    <w:topLinePunct w:val="0"/>
                    <w:autoSpaceDE w:val="0"/>
                    <w:autoSpaceDN w:val="0"/>
                    <w:bidi w:val="0"/>
                    <w:adjustRightInd/>
                    <w:snapToGrid/>
                    <w:spacing w:line="240" w:lineRule="auto"/>
                    <w:ind w:left="0" w:right="0" w:firstLine="0"/>
                    <w:jc w:val="both"/>
                    <w:textAlignment w:val="auto"/>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为砂石料加工，不产生重金属，不使用重金属。</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（4）项目不使用肥料。</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三</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环境风险防控</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1.生产、储存危险化学品及产生大量</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水的企业，应配套有效措施，防止因渗漏污染地下水、土壤。</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2.产生、利用或处置固体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含危险废物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的企业在存、转移利用、处置固体废物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含危险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过程中，应配套防扬散、防流失、防</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渗漏</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及其他防止污染环境的措施，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3.有重点监管尾矿库的企业要开展环境风险评估，完善污染治理设施，储备应急物资。</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4.建立健全重金属污染监控预警体系，提高信息化管理水平。排放等重金属企业，依法对周边耕地土壤贵重金属信息定期监测，如果存在重金属超标及时向当地生态环境部门报备。</w:t>
                  </w:r>
                </w:p>
              </w:tc>
              <w:tc>
                <w:tcPr>
                  <w:tcW w:w="24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为砂石料加工，不涉及</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危险化学品，且项目不产生大量生产废水，项目</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危废暂存间做好重点防</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渗措施。</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（2）项目生活垃圾委托环卫部门清运，废土定期清运至弃土场，</w:t>
                  </w: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旱厕粪便</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委托周边农户清掏，用作农肥，废机油和废机油桶暂存于危废暂存间，委托有资质单位清运处置。危废暂存间执行《危险废物贮存污染控制标准》（GB18597-2023）。</w:t>
                  </w:r>
                </w:p>
                <w:p>
                  <w:pPr>
                    <w:keepNext w:val="0"/>
                    <w:keepLines w:val="0"/>
                    <w:pageBreakBefore w:val="0"/>
                    <w:widowControl w:val="0"/>
                    <w:kinsoku/>
                    <w:wordWrap/>
                    <w:overflowPunct/>
                    <w:topLinePunct w:val="0"/>
                    <w:bidi w:val="0"/>
                    <w:adjustRightInd/>
                    <w:snapToGrid/>
                    <w:ind w:left="0" w:leftChars="0" w:firstLine="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（3）项目不涉及尾矿库。</w:t>
                  </w:r>
                </w:p>
                <w:p>
                  <w:pPr>
                    <w:pStyle w:val="25"/>
                    <w:keepNext w:val="0"/>
                    <w:keepLines w:val="0"/>
                    <w:pageBreakBefore w:val="0"/>
                    <w:widowControl w:val="0"/>
                    <w:kinsoku/>
                    <w:wordWrap/>
                    <w:overflowPunct/>
                    <w:topLinePunct w:val="0"/>
                    <w:bidi w:val="0"/>
                    <w:adjustRightInd/>
                    <w:snapToGrid/>
                    <w:spacing w:after="0"/>
                    <w:ind w:left="0" w:leftChars="0" w:firstLine="0"/>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为砂石料加工，不产生重金属，不使用重金属。</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jc w:val="center"/>
              </w:trPr>
              <w:tc>
                <w:tcPr>
                  <w:tcW w:w="538" w:type="dxa"/>
                  <w:vMerge w:val="continue"/>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p>
              </w:tc>
              <w:tc>
                <w:tcPr>
                  <w:tcW w:w="3598" w:type="dxa"/>
                  <w:vAlign w:val="top"/>
                </w:tcPr>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四</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资源开发效率要求</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1.禁止将重金属或者其他有毒有害物质含量超标的工业固体</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废物</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、生活垃圾或者污染土壤用于土地复垦。</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2.加强对严格管控类耕地的用选管理，依法划定特定农产品禁止生产区域，引导农户种植非食用农产品:对威胁地下水、饮用水水源安全的，制定环境风险管控方案，并落实有关措施。</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严格执行有色金属冶炼行业等环境准入要求，涉重金属行业分布集中、产业规模大、环境问题突出的地区，制定实施更严格的地方污染物排放标准和环境准入标准，依法关停达标无望、治理整顿后仍不能稳定达标的涉重金属企业。</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4.以诺邓镇、白石镇、宝丰乡等</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沘江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流域污灌农田污染为重点，逐步推进土壤污染治理修复与示范，同时以云龙县</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沘江</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沿线农业种植基地、药材种植基地等开展污染耕地治理修复技术试点示范。</w:t>
                  </w:r>
                </w:p>
              </w:tc>
              <w:tc>
                <w:tcPr>
                  <w:tcW w:w="24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jc w:val="both"/>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（1）项</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目</w:t>
                  </w: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为砂石料加工，不产生重金属</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或者其他有毒有害物质含量超标的工业固体废物、生活垃圾、污染土壤。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jc w:val="both"/>
                    <w:textAlignment w:val="auto"/>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（2）项目砂石料加工，不涉及种植业。</w:t>
                  </w:r>
                </w:p>
                <w:p>
                  <w:pPr>
                    <w:pStyle w:val="25"/>
                    <w:keepNext w:val="0"/>
                    <w:keepLines w:val="0"/>
                    <w:pageBreakBefore w:val="0"/>
                    <w:widowControl w:val="0"/>
                    <w:kinsoku/>
                    <w:wordWrap/>
                    <w:overflowPunct/>
                    <w:topLinePunct w:val="0"/>
                    <w:bidi w:val="0"/>
                    <w:adjustRightInd/>
                    <w:snapToGrid/>
                    <w:spacing w:after="0"/>
                    <w:ind w:left="0" w:leftChars="0" w:firstLine="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lang w:val="en-US" w:eastAsia="zh-CN"/>
                      <w14:textFill>
                        <w14:solidFill>
                          <w14:schemeClr w14:val="tx1"/>
                        </w14:solidFill>
                      </w14:textFill>
                    </w:rPr>
                    <w:t>（3）项目砂石料加工，不涉及</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有色金属冶炼行业。</w:t>
                  </w:r>
                </w:p>
                <w:p>
                  <w:pPr>
                    <w:keepNext w:val="0"/>
                    <w:keepLines w:val="0"/>
                    <w:pageBreakBefore w:val="0"/>
                    <w:widowControl w:val="0"/>
                    <w:kinsoku/>
                    <w:wordWrap/>
                    <w:overflowPunct/>
                    <w:topLinePunct w:val="0"/>
                    <w:bidi w:val="0"/>
                    <w:adjustRightInd/>
                    <w:snapToGrid/>
                    <w:ind w:left="0" w:leftChars="0" w:firstLine="0"/>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（4）项目使用期结束以后，建设单位要按要求恢复原状，不会污染土</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壤。</w:t>
                  </w:r>
                </w:p>
              </w:tc>
              <w:tc>
                <w:tcPr>
                  <w:tcW w:w="602" w:type="dxa"/>
                  <w:vAlign w:val="center"/>
                </w:tcPr>
                <w:p>
                  <w:pPr>
                    <w:keepNext w:val="0"/>
                    <w:keepLines w:val="0"/>
                    <w:pageBreakBefore w:val="0"/>
                    <w:widowControl/>
                    <w:kinsoku/>
                    <w:wordWrap/>
                    <w:overflowPunct/>
                    <w:topLinePunct w:val="0"/>
                    <w:bidi w:val="0"/>
                    <w:adjustRightInd/>
                    <w:snapToGrid/>
                    <w:spacing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r>
          </w:tbl>
          <w:p>
            <w:pPr>
              <w:pStyle w:val="81"/>
              <w:ind w:firstLine="482"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、与《中华人民共和国大气污染防治法》（2018年修订）符合性分析</w:t>
            </w:r>
          </w:p>
          <w:p>
            <w:pPr>
              <w:pStyle w:val="5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lang w:val="en-US"/>
                <w14:textFill>
                  <w14:solidFill>
                    <w14:schemeClr w14:val="tx1"/>
                  </w14:solidFill>
                </w14:textFill>
              </w:rPr>
            </w:pPr>
            <w:r>
              <w:rPr>
                <w:rFonts w:hint="default" w:ascii="Times New Roman" w:hAnsi="Times New Roman" w:cs="Times New Roman"/>
                <w:b/>
                <w:bCs/>
                <w:color w:val="000000" w:themeColor="text1"/>
                <w:sz w:val="21"/>
                <w:lang w:val="en-US"/>
                <w14:textFill>
                  <w14:solidFill>
                    <w14:schemeClr w14:val="tx1"/>
                  </w14:solidFill>
                </w14:textFill>
              </w:rPr>
              <w:t>表1-</w:t>
            </w:r>
            <w:r>
              <w:rPr>
                <w:rFonts w:hint="eastAsia" w:ascii="Times New Roman" w:hAnsi="Times New Roman" w:cs="Times New Roman"/>
                <w:b/>
                <w:bCs/>
                <w:color w:val="000000" w:themeColor="text1"/>
                <w:sz w:val="21"/>
                <w:lang w:val="en-US" w:eastAsia="zh-CN"/>
                <w14:textFill>
                  <w14:solidFill>
                    <w14:schemeClr w14:val="tx1"/>
                  </w14:solidFill>
                </w14:textFill>
              </w:rPr>
              <w:t>5</w:t>
            </w:r>
            <w:r>
              <w:rPr>
                <w:rFonts w:hint="default" w:ascii="Times New Roman" w:hAnsi="Times New Roman" w:cs="Times New Roman"/>
                <w:b/>
                <w:bCs/>
                <w:color w:val="000000" w:themeColor="text1"/>
                <w:sz w:val="21"/>
                <w:lang w:val="en-US"/>
                <w14:textFill>
                  <w14:solidFill>
                    <w14:schemeClr w14:val="tx1"/>
                  </w14:solidFill>
                </w14:textFill>
              </w:rPr>
              <w:t>项目与《中华人民共和国大气污染防治法》符合性分析一览表</w:t>
            </w:r>
          </w:p>
          <w:tbl>
            <w:tblPr>
              <w:tblStyle w:val="26"/>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215"/>
              <w:gridCol w:w="282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序号</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相关要求</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本项目情况</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1</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三十二条国务院有关部门和地方各级人民政府应当采取措施，调整能源结构，推广清洁能源的生产和使用；优化煤炭使用方式，推广煤炭清洁高效利用，逐步降低煤炭在一次能源消费中的比重，减少煤炭生产、使</w:t>
                  </w:r>
                  <w:r>
                    <w:rPr>
                      <w:b w:val="0"/>
                      <w:color w:val="000000" w:themeColor="text1"/>
                      <w:sz w:val="21"/>
                      <w:szCs w:val="21"/>
                      <w14:textFill>
                        <w14:solidFill>
                          <w14:schemeClr w14:val="tx1"/>
                        </w14:solidFill>
                      </w14:textFill>
                    </w:rPr>
                    <w:cr/>
                  </w:r>
                  <w:r>
                    <w:rPr>
                      <w:b w:val="0"/>
                      <w:color w:val="000000" w:themeColor="text1"/>
                      <w:sz w:val="21"/>
                      <w:szCs w:val="21"/>
                      <w14:textFill>
                        <w14:solidFill>
                          <w14:schemeClr w14:val="tx1"/>
                        </w14:solidFill>
                      </w14:textFill>
                    </w:rPr>
                    <w:t>、转化过程中的大气污染物排放。</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本项目供能方式为电能供热，不使用燃煤供热。</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2</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第四十五条产生含挥发性有机物废气的生产和服务活动，应当在密闭空间或者设备中进行，并按照规定安装、使用污染防治设施；无法密闭的，应当采取措施减少废气排放。</w:t>
                  </w:r>
                </w:p>
              </w:tc>
              <w:tc>
                <w:tcPr>
                  <w:tcW w:w="2828" w:type="dxa"/>
                  <w:shd w:val="clear" w:color="auto" w:fill="auto"/>
                  <w:vAlign w:val="center"/>
                </w:tcPr>
                <w:p>
                  <w:pPr>
                    <w:pStyle w:val="82"/>
                    <w:rPr>
                      <w:rFonts w:hint="default" w:eastAsiaTheme="minorEastAsia"/>
                      <w:b w:val="0"/>
                      <w:color w:val="000000" w:themeColor="text1"/>
                      <w:sz w:val="21"/>
                      <w:szCs w:val="21"/>
                      <w:lang w:val="en-US" w:eastAsia="zh-CN"/>
                      <w14:textFill>
                        <w14:solidFill>
                          <w14:schemeClr w14:val="tx1"/>
                        </w14:solidFill>
                      </w14:textFill>
                    </w:rPr>
                  </w:pPr>
                  <w:r>
                    <w:rPr>
                      <w:b w:val="0"/>
                      <w:color w:val="000000" w:themeColor="text1"/>
                      <w:sz w:val="21"/>
                      <w:szCs w:val="21"/>
                      <w14:textFill>
                        <w14:solidFill>
                          <w14:schemeClr w14:val="tx1"/>
                        </w14:solidFill>
                      </w14:textFill>
                    </w:rPr>
                    <w:t>根据现场调查，</w:t>
                  </w:r>
                  <w:r>
                    <w:rPr>
                      <w:rFonts w:hint="eastAsia"/>
                      <w:b w:val="0"/>
                      <w:color w:val="000000" w:themeColor="text1"/>
                      <w:sz w:val="21"/>
                      <w:szCs w:val="21"/>
                      <w:lang w:val="en-US" w:eastAsia="zh-CN"/>
                      <w14:textFill>
                        <w14:solidFill>
                          <w14:schemeClr w14:val="tx1"/>
                        </w14:solidFill>
                      </w14:textFill>
                    </w:rPr>
                    <w:t>项目不涉及</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3</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四十八条钢铁、建材、有色金属、石油、化工、制药、矿产开采等企业，应当加强精细化管理，采取集中收集处理等措施，严格控制粉尘和气态污染物的排放。工业生产企业应当采取密闭、围挡、遮盖、清扫、洒水等措施，减少内部物料的堆存、传输、装卸等环节产生的粉尘和气态污染物的排放。</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本项目运营期对</w:t>
                  </w:r>
                  <w:r>
                    <w:rPr>
                      <w:rFonts w:hint="eastAsia"/>
                      <w:b w:val="0"/>
                      <w:color w:val="000000" w:themeColor="text1"/>
                      <w:sz w:val="21"/>
                      <w:szCs w:val="21"/>
                      <w:lang w:val="en-US" w:eastAsia="zh-CN"/>
                      <w14:textFill>
                        <w14:solidFill>
                          <w14:schemeClr w14:val="tx1"/>
                        </w14:solidFill>
                      </w14:textFill>
                    </w:rPr>
                    <w:t>整个生产区域进行三面封闭+顶棚，</w:t>
                  </w:r>
                  <w:r>
                    <w:rPr>
                      <w:b w:val="0"/>
                      <w:color w:val="000000" w:themeColor="text1"/>
                      <w:sz w:val="21"/>
                      <w:szCs w:val="21"/>
                      <w14:textFill>
                        <w14:solidFill>
                          <w14:schemeClr w14:val="tx1"/>
                        </w14:solidFill>
                      </w14:textFill>
                    </w:rPr>
                    <w:t>并设置喷淋装置</w:t>
                  </w:r>
                  <w:r>
                    <w:rPr>
                      <w:rFonts w:hint="eastAsia"/>
                      <w:b w:val="0"/>
                      <w:color w:val="000000" w:themeColor="text1"/>
                      <w:sz w:val="21"/>
                      <w:szCs w:val="21"/>
                      <w:lang w:eastAsia="zh-CN"/>
                      <w14:textFill>
                        <w14:solidFill>
                          <w14:schemeClr w14:val="tx1"/>
                        </w14:solidFill>
                      </w14:textFill>
                    </w:rPr>
                    <w:t>，</w:t>
                  </w:r>
                  <w:r>
                    <w:rPr>
                      <w:b w:val="0"/>
                      <w:color w:val="000000" w:themeColor="text1"/>
                      <w:sz w:val="21"/>
                      <w:szCs w:val="21"/>
                      <w14:textFill>
                        <w14:solidFill>
                          <w14:schemeClr w14:val="tx1"/>
                        </w14:solidFill>
                      </w14:textFill>
                    </w:rPr>
                    <w:t>采取上述措施后可有效控制扬尘产生。</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473"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4</w:t>
                  </w:r>
                </w:p>
              </w:tc>
              <w:tc>
                <w:tcPr>
                  <w:tcW w:w="3215"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第七十条运输煤炭、垃圾、渣土、砂石、土方、灰浆等散装、流体物料的车辆应当采取密闭或者其他措施防止物料遗撒造成扬尘污染，并按照规定路线行驶。装卸物料应当采取密闭或者喷淋等方式防治扬尘污染。</w:t>
                  </w:r>
                </w:p>
              </w:tc>
              <w:tc>
                <w:tcPr>
                  <w:tcW w:w="2828"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本次评价提出运营期物料运输车辆采用篷布遮盖；</w:t>
                  </w:r>
                  <w:r>
                    <w:rPr>
                      <w:rFonts w:hint="eastAsia"/>
                      <w:b w:val="0"/>
                      <w:color w:val="000000" w:themeColor="text1"/>
                      <w:sz w:val="21"/>
                      <w:szCs w:val="21"/>
                      <w:lang w:val="en-US" w:eastAsia="zh-CN"/>
                      <w14:textFill>
                        <w14:solidFill>
                          <w14:schemeClr w14:val="tx1"/>
                        </w14:solidFill>
                      </w14:textFill>
                    </w:rPr>
                    <w:t>整个生产区域进行三面封闭+顶棚，</w:t>
                  </w:r>
                  <w:r>
                    <w:rPr>
                      <w:b w:val="0"/>
                      <w:color w:val="000000" w:themeColor="text1"/>
                      <w:sz w:val="21"/>
                      <w:szCs w:val="21"/>
                      <w14:textFill>
                        <w14:solidFill>
                          <w14:schemeClr w14:val="tx1"/>
                        </w14:solidFill>
                      </w14:textFill>
                    </w:rPr>
                    <w:t>并设置喷淋装置，装卸物料过程中进行洒水降尘。</w:t>
                  </w:r>
                </w:p>
              </w:tc>
              <w:tc>
                <w:tcPr>
                  <w:tcW w:w="602" w:type="dxa"/>
                  <w:shd w:val="clear" w:color="auto" w:fill="auto"/>
                  <w:vAlign w:val="center"/>
                </w:tcPr>
                <w:p>
                  <w:pPr>
                    <w:pStyle w:val="82"/>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符合</w:t>
                  </w:r>
                </w:p>
              </w:tc>
            </w:tr>
          </w:tbl>
          <w:p>
            <w:pPr>
              <w:pStyle w:val="54"/>
              <w:rPr>
                <w:color w:val="000000" w:themeColor="text1"/>
                <w14:textFill>
                  <w14:solidFill>
                    <w14:schemeClr w14:val="tx1"/>
                  </w14:solidFill>
                </w14:textFill>
              </w:rPr>
            </w:pPr>
            <w:r>
              <w:rPr>
                <w:color w:val="000000" w:themeColor="text1"/>
                <w14:textFill>
                  <w14:solidFill>
                    <w14:schemeClr w14:val="tx1"/>
                  </w14:solidFill>
                </w14:textFill>
              </w:rPr>
              <w:t>综上所属，本项目建设符合《中华人民共和国大气污染防治法》的相关要求。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4、与《关于推进机制砂石行业高质量发展的若干意见》（工信部联原[2019]239号）的符合性分析</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根据2019年11月11日印发的《关于推进机制砂石行业高质量发展的若干意见》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工信部联原[2019]239号</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，本项目与《关于推进机制砂石行业高质量发展的若干意见》符合性分析如下</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表1-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与《关于推进机制砂石行业高质量发展的若干意见》符合性分析</w:t>
            </w:r>
          </w:p>
          <w:tbl>
            <w:tblPr>
              <w:tblStyle w:val="27"/>
              <w:tblW w:w="7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972"/>
              <w:gridCol w:w="2616"/>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序号</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文件内容</w:t>
                  </w:r>
                </w:p>
              </w:tc>
              <w:tc>
                <w:tcPr>
                  <w:tcW w:w="2616"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本建设项目</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1</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拓展砂石来源。规范砂石资源管理，鼓励利用废石以及铁、钼、钒钛等矿山的尾矿生产机制砂石，节约天然资源，提高产业固体废物综合利用水平。根据建筑垃圾吸水率高等特点，鼓励生产满足海绵城市建设需要的砂石等产品。支持就地取材，利用开山、道路、隧洞、场地平整等建设工程产生的砂石料生产机制砂石，减少长距离运输外来砂石，满足建设需要。发展“互联网+砂石骨料”，构建机制砂石电子商务平台，完善支撑服务体系，培育适合砂石产业的O</w:t>
                  </w:r>
                  <w:r>
                    <w:rPr>
                      <w:rFonts w:hint="eastAsia" w:ascii="Times New Roman" w:hAnsi="Times New Roman" w:eastAsia="宋体" w:cs="Times New Roman"/>
                      <w:b w:val="0"/>
                      <w:bCs w:val="0"/>
                      <w:color w:val="000000" w:themeColor="text1"/>
                      <w:sz w:val="21"/>
                      <w:szCs w:val="21"/>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O、C</w:t>
                  </w:r>
                  <w:r>
                    <w:rPr>
                      <w:rFonts w:hint="eastAsia" w:ascii="Times New Roman" w:hAnsi="Times New Roman" w:eastAsia="宋体" w:cs="Times New Roman"/>
                      <w:b w:val="0"/>
                      <w:bCs w:val="0"/>
                      <w:color w:val="000000" w:themeColor="text1"/>
                      <w:sz w:val="21"/>
                      <w:szCs w:val="21"/>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B等电商模式，实现砂石电子商务交易中的信息交流、市场交易、物流配送、支付结算、售后服务等功能。</w:t>
                  </w:r>
                </w:p>
              </w:tc>
              <w:tc>
                <w:tcPr>
                  <w:tcW w:w="2616" w:type="dxa"/>
                  <w:vAlign w:val="center"/>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本项目为砂石料加工项目，属于</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其他建筑材料制造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项目所需原料全部来源于石料来源于高速公路隧道渣土，不涉及矿山、采石、采砂等生产活动，公司外购高速公路隧道渣土，符合就近取材。</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2</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发展绿色制造。机制砂石企业要坚持绿色低碳循环发展，按照相关规范要求建设绿色矿山。生产线配套建设抑尘收尘、水处理和降噪等污染防治以及水土保持设施，对设备、产品采取棚化密封或其他有效覆盖措施，推进清洁生产，严控无组织排放，满足达标排放等环保要求。对工艺废水、细粉和沉淀泥浆等加强回收再利用，鼓励利用生产过程中的伴生石粉生产绿色建材，实现近零排放。提高设备整体能效、节水水平，降低单位产品的综合能耗、水耗，鼓励有条件的企业实施输送带势能发电、开展合同节水管理。</w:t>
                  </w:r>
                </w:p>
              </w:tc>
              <w:tc>
                <w:tcPr>
                  <w:tcW w:w="2616" w:type="dxa"/>
                  <w:vAlign w:val="center"/>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本项目为砂石料加工项目，属于</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其他建筑材料制造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项目所需原料全部来源于高速公路隧道渣土，不涉及矿山、采石、采砂等生产活动。项目</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破碎</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、筛分</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过程加水喷淋降尘。</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原料堆场</w:t>
                  </w:r>
                  <w:r>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t>以及成品堆场</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设置</w:t>
                  </w:r>
                  <w:r>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t>在三面封闭+顶棚</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zh-CN"/>
                      <w14:textFill>
                        <w14:solidFill>
                          <w14:schemeClr w14:val="tx1"/>
                        </w14:solidFill>
                      </w14:textFill>
                    </w:rPr>
                    <w:t>并</w:t>
                  </w:r>
                  <w:r>
                    <w:rPr>
                      <w:rFonts w:hint="default" w:ascii="Times New Roman" w:hAnsi="Times New Roman" w:eastAsia="宋体" w:cs="Times New Roman"/>
                      <w:color w:val="000000" w:themeColor="text1"/>
                      <w:sz w:val="21"/>
                      <w:szCs w:val="21"/>
                      <w:highlight w:val="none"/>
                      <w:lang w:val="en-US" w:eastAsia="zh-CN" w:bidi="zh-CN"/>
                      <w14:textFill>
                        <w14:solidFill>
                          <w14:schemeClr w14:val="tx1"/>
                        </w14:solidFill>
                      </w14:textFill>
                    </w:rPr>
                    <w:t>设置喷淋设施，粉尘经厂房阻隔+洒水降尘后无组织排放。</w:t>
                  </w:r>
                  <w:r>
                    <w:rPr>
                      <w:rFonts w:hint="default" w:ascii="Times New Roman" w:hAnsi="Times New Roman" w:eastAsia="宋体" w:cs="Times New Roman"/>
                      <w:color w:val="000000" w:themeColor="text1"/>
                      <w:kern w:val="0"/>
                      <w:sz w:val="21"/>
                      <w:szCs w:val="21"/>
                      <w:highlight w:val="none"/>
                      <w:lang w:val="en-US" w:eastAsia="zh-CN" w:bidi="zh-CN"/>
                      <w14:textFill>
                        <w14:solidFill>
                          <w14:schemeClr w14:val="tx1"/>
                        </w14:solidFill>
                      </w14:textFill>
                    </w:rPr>
                    <w:t>运输皮带全封闭、厂房阻隔后</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无组织排放。</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3</w:t>
                  </w:r>
                </w:p>
              </w:tc>
              <w:tc>
                <w:tcPr>
                  <w:tcW w:w="2972"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推进综合整治。对正在开采的矿山，坚持</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边开采、边治理</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原则，切实履行矿山地质环境保护与土地复垦责任义务。对违反资源环境法律法规、规划，污染环境、破坏生态、乱采滥挖、无证开采的矿山，要依法停产整治或关闭，并追究其破坏生态环境相关责任。对废弃矿山，加大矿山环境治理修复力度，严禁以治理工程为名进行新的开采、造成新的生态破坏。加强生产、流通和使用等环节砂石的监督检查，依法查处假冒伪劣产品</w:t>
                  </w: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w:t>
                  </w:r>
                </w:p>
              </w:tc>
              <w:tc>
                <w:tcPr>
                  <w:tcW w:w="2616" w:type="dxa"/>
                  <w:vAlign w:val="center"/>
                </w:tcPr>
                <w:p>
                  <w:pPr>
                    <w:keepNext w:val="0"/>
                    <w:keepLines w:val="0"/>
                    <w:widowControl/>
                    <w:suppressLineNumbers w:val="0"/>
                    <w:jc w:val="left"/>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本项目为砂石料加工项目，属于</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其他建筑材料制造</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项目所需原料全部来源于高速公路隧道渣土，不涉及矿山、采石、采砂等生产活动。项目建设完成后，建议建设绿化，绿化可考虑选取乡土树种为主，易于存活，并注意乔、灌、花、草的结合；同时，项目区设置排水沟，减少水域流失量，减小项目对周围生态环境的影响。</w:t>
                  </w:r>
                </w:p>
              </w:tc>
              <w:tc>
                <w:tcPr>
                  <w:tcW w:w="819" w:type="dxa"/>
                  <w:vAlign w:val="center"/>
                </w:tcPr>
                <w:p>
                  <w:pPr>
                    <w:pStyle w:val="77"/>
                    <w:spacing w:before="0" w:beforeAutospacing="0" w:after="0" w:afterAutospacing="0"/>
                    <w:jc w:val="cente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综上所述，本项目的建设与《关于推进机制砂石行业高质量发展的若干意见》相符。</w:t>
            </w:r>
          </w:p>
          <w:p>
            <w:pPr>
              <w:pStyle w:val="81"/>
              <w:keepNext w:val="0"/>
              <w:keepLines w:val="0"/>
              <w:pageBreakBefore w:val="0"/>
              <w:widowControl w:val="0"/>
              <w:kinsoku/>
              <w:wordWrap/>
              <w:overflowPunct/>
              <w:topLinePunct w:val="0"/>
              <w:autoSpaceDE/>
              <w:autoSpaceDN/>
              <w:bidi w:val="0"/>
              <w:adjustRightInd/>
              <w:snapToGrid/>
              <w:spacing w:before="0" w:after="0"/>
              <w:ind w:firstLine="723" w:firstLineChars="3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、与《中华人民共和国河道管理条例》的符合性分析</w:t>
            </w:r>
          </w:p>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w:t>
            </w:r>
            <w:r>
              <w:rPr>
                <w:rFonts w:hint="eastAsia"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与《中华人民共和国河道管理条例》的符合性分析一览表</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与本项目有关的管理条例</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第二十四条在河道管理范围内，禁止修建围堤、阻水渠道、阻水道路；种植高</w:t>
                  </w:r>
                  <w:r>
                    <w:rPr>
                      <w:rFonts w:hint="default" w:ascii="Times New Roman" w:hAnsi="Times New Roman" w:cs="Times New Roman"/>
                      <w:color w:val="000000" w:themeColor="text1"/>
                      <w:sz w:val="21"/>
                      <w:szCs w:val="21"/>
                      <w:lang w:eastAsia="zh-CN"/>
                      <w14:textFill>
                        <w14:solidFill>
                          <w14:schemeClr w14:val="tx1"/>
                        </w14:solidFill>
                      </w14:textFill>
                    </w:rPr>
                    <w:t>秆</w:t>
                  </w:r>
                  <w:r>
                    <w:rPr>
                      <w:rFonts w:hint="default" w:ascii="Times New Roman" w:hAnsi="Times New Roman" w:cs="Times New Roman"/>
                      <w:color w:val="000000" w:themeColor="text1"/>
                      <w:sz w:val="21"/>
                      <w:szCs w:val="21"/>
                      <w14:textFill>
                        <w14:solidFill>
                          <w14:schemeClr w14:val="tx1"/>
                        </w14:solidFill>
                      </w14:textFill>
                    </w:rPr>
                    <w:t>农作物、芦苇、杞柳、荻柴和树木（堤防防护林除外）；设置拦河渔具;弃置矿渣、石渣、煤灰、泥土、垃圾等。在堤防和护堤地，禁止建房、放牧、开渠、打井、挖害、葬坟、晒粮、存放物料、开采地下资源、进行考古发掘以及开展集市贸易活动。</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，不涉及河道管理范围</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6"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第二十五条在河道管理范围内进行下列活动，必须报经河道主管机关批准;涉及其他部门的，由河道主管机关会同有关部门批准：</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（一）采砂、取土、淘金、弃置砂石或者淤泥；</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（二）爆破、钻探、挖筑鱼塘；</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（三）在河道滩地存放物料、修建厂房或者其他建筑设施；</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（四）在河道滩地开采地下资源及进行考古发掘。</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，不涉及河道管理范围</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第二十七条禁止围湖造田。已经围垦的，应当按照国家规定的防洪标准进行治理，逐步退田还湖。湖泊的开发利用规划必须经河道主管机关审查同意。</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w:t>
                  </w:r>
                  <w:r>
                    <w:rPr>
                      <w:rFonts w:hint="default" w:ascii="Times New Roman" w:hAnsi="Times New Roman" w:cs="Times New Roman"/>
                      <w:color w:val="000000" w:themeColor="text1"/>
                      <w:sz w:val="21"/>
                      <w:szCs w:val="21"/>
                      <w14:textFill>
                        <w14:solidFill>
                          <w14:schemeClr w14:val="tx1"/>
                        </w14:solidFill>
                      </w14:textFill>
                    </w:rPr>
                    <w:t>，不涉及维护造田和湖泊的开发利用规划。</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第二十九条，江河的故道、旧堤、原有工程设施等，不得擅自填堵、占用或者拆毁。</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，不存在填堵、占用或者拆毁江河的故道、旧堤、原有工程设施的行为。</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第三十条护堤护岸林木，由河道管理单位组织营造和管理，其他任何单位和个人不得侵占、砍伐或者破坏。</w:t>
                  </w:r>
                </w:p>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河道管理单位对护堤护岸林木进行抚育和更新性质的采伐及用于防汛抢险的采伐，根据国家有关规定免交育林基金。</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本项目为</w:t>
                  </w:r>
                  <w:r>
                    <w:rPr>
                      <w:rFonts w:hint="default" w:ascii="Times New Roman" w:hAnsi="Times New Roman" w:cs="Times New Roman"/>
                      <w:color w:val="000000" w:themeColor="text1"/>
                      <w:sz w:val="21"/>
                      <w:szCs w:val="21"/>
                      <w:lang w:eastAsia="zh-CN"/>
                      <w14:textFill>
                        <w14:solidFill>
                          <w14:schemeClr w14:val="tx1"/>
                        </w14:solidFill>
                      </w14:textFill>
                    </w:rPr>
                    <w:t>砂石料加工项目</w:t>
                  </w:r>
                  <w:r>
                    <w:rPr>
                      <w:rFonts w:hint="default" w:ascii="Times New Roman" w:hAnsi="Times New Roman" w:cs="Times New Roman"/>
                      <w:color w:val="000000" w:themeColor="text1"/>
                      <w:sz w:val="21"/>
                      <w:szCs w:val="21"/>
                      <w14:textFill>
                        <w14:solidFill>
                          <w14:schemeClr w14:val="tx1"/>
                        </w14:solidFill>
                      </w14:textFill>
                    </w:rPr>
                    <w:t>，不存在侵占、砍伐或者破坏护堤护岸林木的行为。</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pStyle w:val="81"/>
              <w:keepNext w:val="0"/>
              <w:keepLines w:val="0"/>
              <w:pageBreakBefore w:val="0"/>
              <w:widowControl w:val="0"/>
              <w:kinsoku/>
              <w:wordWrap/>
              <w:overflowPunct/>
              <w:topLinePunct w:val="0"/>
              <w:autoSpaceDE/>
              <w:autoSpaceDN/>
              <w:bidi w:val="0"/>
              <w:adjustRightInd/>
              <w:snapToGrid/>
              <w:spacing w:before="0" w:after="0"/>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与</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《机制砂骨料工厂设计规范》(GB51186-2016)</w:t>
            </w:r>
            <w:r>
              <w:rPr>
                <w:rFonts w:hint="default" w:ascii="Times New Roman" w:hAnsi="Times New Roman" w:cs="Times New Roman"/>
                <w:color w:val="000000" w:themeColor="text1"/>
                <w:sz w:val="24"/>
                <w14:textFill>
                  <w14:solidFill>
                    <w14:schemeClr w14:val="tx1"/>
                  </w14:solidFill>
                </w14:textFill>
              </w:rPr>
              <w:t>的符合性分析</w:t>
            </w:r>
          </w:p>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表1-</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14:textFill>
                  <w14:solidFill>
                    <w14:schemeClr w14:val="tx1"/>
                  </w14:solidFill>
                </w14:textFill>
              </w:rPr>
              <w:t>与</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《机制砂骨料工厂设计规范》(GB51186-2016)</w:t>
            </w:r>
            <w:r>
              <w:rPr>
                <w:rFonts w:hint="default" w:ascii="Times New Roman" w:hAnsi="Times New Roman" w:cs="Times New Roman"/>
                <w:color w:val="000000" w:themeColor="text1"/>
                <w:sz w:val="21"/>
                <w:szCs w:val="21"/>
                <w14:textFill>
                  <w14:solidFill>
                    <w14:schemeClr w14:val="tx1"/>
                  </w14:solidFill>
                </w14:textFill>
              </w:rPr>
              <w:t>的符合性分析一览表</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w:t>
                  </w:r>
                  <w:r>
                    <w:rPr>
                      <w:rFonts w:hint="default" w:ascii="Times New Roman" w:hAnsi="Times New Roman" w:cs="Times New Roman"/>
                      <w:color w:val="000000" w:themeColor="text1"/>
                      <w:sz w:val="21"/>
                      <w:szCs w:val="21"/>
                      <w:lang w:val="en-US" w:eastAsia="zh-CN"/>
                      <w14:textFill>
                        <w14:solidFill>
                          <w14:schemeClr w14:val="tx1"/>
                        </w14:solidFill>
                      </w14:textFill>
                    </w:rPr>
                    <w:t>内容</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厂址选择</w:t>
                  </w:r>
                  <w:r>
                    <w:rPr>
                      <w:rFonts w:hint="default" w:ascii="Times New Roman" w:hAnsi="Times New Roman" w:cs="Times New Roman"/>
                      <w:color w:val="000000" w:themeColor="text1"/>
                      <w:sz w:val="21"/>
                      <w:szCs w:val="21"/>
                      <w:lang w:eastAsia="zh-CN"/>
                      <w14:textFill>
                        <w14:solidFill>
                          <w14:schemeClr w14:val="tx1"/>
                        </w14:solidFill>
                      </w14:textFill>
                    </w:rPr>
                    <w:t>：</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厂址选址应符合下列规定:</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厂址选择应靠近资源所在地,并应远离居民区;</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厂址应选择在工程地质和水文地质较好的地带,并应避开山洪、滑坡、泥石流等地质灾害易发地段;</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厂址选择宜利用荒山地、山坡地,不占或少占农田、林地，不宜动迁村庄;</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位于城镇周围的机制砂石骨料工厂,厂址应位于城镇和居住区全年最小频率风向的上风侧;</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厂址应具有良好的外部建设条件，并应有利于外部的协作。</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机制砂石骨料工厂严禁布置在矿山爆破危险区范围内。</w:t>
                  </w:r>
                </w:p>
              </w:tc>
              <w:tc>
                <w:tcPr>
                  <w:tcW w:w="2688" w:type="dxa"/>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位置及隧道渣土运输路线，选择该位置作为砂石料加工点。项目为临时加工点，服务年限较短，项目已取得同意选址的意见（详见附件3）。使用地块为荒地，</w:t>
                  </w:r>
                  <w:r>
                    <w:rPr>
                      <w:rFonts w:hint="default" w:ascii="Times New Roman" w:hAnsi="Times New Roman" w:cs="Times New Roman"/>
                      <w:color w:val="000000" w:themeColor="text1"/>
                      <w:sz w:val="21"/>
                      <w:szCs w:val="21"/>
                      <w14:textFill>
                        <w14:solidFill>
                          <w14:schemeClr w14:val="tx1"/>
                        </w14:solidFill>
                      </w14:textFill>
                    </w:rPr>
                    <w:t>区域常年主导风向为</w:t>
                  </w:r>
                  <w:r>
                    <w:rPr>
                      <w:rFonts w:hint="default" w:ascii="Times New Roman" w:hAnsi="Times New Roman" w:cs="Times New Roman"/>
                      <w:color w:val="000000" w:themeColor="text1"/>
                      <w:sz w:val="21"/>
                      <w:szCs w:val="21"/>
                      <w:lang w:val="en-US" w:eastAsia="zh-CN"/>
                      <w14:textFill>
                        <w14:solidFill>
                          <w14:schemeClr w14:val="tx1"/>
                        </w14:solidFill>
                      </w14:textFill>
                    </w:rPr>
                    <w:t>西</w:t>
                  </w:r>
                  <w:r>
                    <w:rPr>
                      <w:rFonts w:hint="default" w:ascii="Times New Roman" w:hAnsi="Times New Roman" w:cs="Times New Roman"/>
                      <w:color w:val="000000" w:themeColor="text1"/>
                      <w:sz w:val="21"/>
                      <w:szCs w:val="21"/>
                      <w14:textFill>
                        <w14:solidFill>
                          <w14:schemeClr w14:val="tx1"/>
                        </w14:solidFill>
                      </w14:textFill>
                    </w:rPr>
                    <w:t>南风，</w:t>
                  </w:r>
                  <w:r>
                    <w:rPr>
                      <w:rFonts w:hint="default" w:ascii="Times New Roman" w:hAnsi="Times New Roman" w:cs="Times New Roman"/>
                      <w:color w:val="000000" w:themeColor="text1"/>
                      <w:sz w:val="21"/>
                      <w:szCs w:val="21"/>
                      <w:lang w:val="en-US" w:eastAsia="zh-CN"/>
                      <w14:textFill>
                        <w14:solidFill>
                          <w14:schemeClr w14:val="tx1"/>
                        </w14:solidFill>
                      </w14:textFill>
                    </w:rPr>
                    <w:t>项目不会对居民区产生影响。且厂区交通便利，位于省道边。</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总平面布置</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产生高噪声的破碎、筛分车间,与相邻建(构)筑物的防噪声间距应符合现行国家标准《工业企业噪声控制设计规范》GB/T50087的有关规定。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）基本生活设施应根据需要设置,宜利用厂区周围的服务设施。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）成品库(堆场)设计应符合下列规定: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1）成品库(堆场)的场地宜满足物料进行装(卸)车、倒堆储存及转运要求,并应具有满足装卸和储存要求的装(卸)车位及储存场地;</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2）成品库(堆场)设计储存能力应满足生产对储存期及装(卸)车长度要求;</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4</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厂区道路设计应符合现行国家标准《厂矿道路设计规范》GB]22的有关规定。消防通道路面宽度不应小于4.0m、通行净空高度不应小于4.5m。厂区生产运输道路可兼作消防通道,消防通道应全场贯通无障碍。断头路在道路尽头处应设置回车场地。（</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）厂区出人口设置应满足厂区消防要求。主要人流出人口</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运输道路应硬化并定期清扫，减少混入原料和成品中的泥土等杂质。应与货运出人口分开布置,并应靠近生活设施区</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厂区</w:t>
                  </w:r>
                  <w:r>
                    <w:rPr>
                      <w:rFonts w:hint="eastAsia" w:ascii="Times New Roman" w:hAnsi="Times New Roman" w:cs="Times New Roman"/>
                      <w:color w:val="000000" w:themeColor="text1"/>
                      <w:sz w:val="21"/>
                      <w:szCs w:val="21"/>
                      <w:lang w:val="en-US" w:eastAsia="zh-CN"/>
                      <w14:textFill>
                        <w14:solidFill>
                          <w14:schemeClr w14:val="tx1"/>
                        </w14:solidFill>
                      </w14:textFill>
                    </w:rPr>
                    <w:t>生产区域封闭，生产设备设置基础减震，厂房封闭，生活区与生产区域分开，成品库场地</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满足</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设计要求，厂区道路宽度满足4m，</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厂区出人口设置满足厂区消防要求。主要人流出</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入口</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口</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运输道路硬化并定期清扫，减少混入原料和成品中的泥土等杂质。与货运出</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入</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口分开布置,靠近生活设施区</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环境保护</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1</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）机制砂石骨料生产线必须配有收尘系统。</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2</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）机制砂石骨料湿法生产线必须设置</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废水</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处理系统,并应循环用水。</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）粉尘污染防治应符合下列规定: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1</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机制砂石骨料工厂应对破碎、筛分及输送等生产环节采取封闭措施;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2</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机制砂石骨料工厂应对破碎、分及输送转运站等扬尘点设置收尘装置,粉尘排放浓度应符合现行国家标准《大气污染物综合排放标准》GB16297的有关规定，并应满足厂区所在地区的环保要求;</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3</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对于无组织排放的扬尘场所,应采取喷雾、洒水、封闭等防尘措施。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4</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）固体废弃物污染防治应符合下列规定: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1</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收尘设备收下的粉尘经处理后应运到固定地点堆放,并应采取防止二次污染的措施;</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2</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脱泥和洗矿等排出的各种废渣应集中处置,不得排人自然水体或任意抛弃;</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3</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固体废弃物宜综合利用。</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）废水污染防治应符合下列规定:</w:t>
                  </w:r>
                </w:p>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生产排水、雨水和生活污水,应清污分流;</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项目破碎机</w:t>
                  </w:r>
                  <w:r>
                    <w:rPr>
                      <w:rFonts w:hint="eastAsia" w:ascii="Times New Roman" w:hAnsi="Times New Roman" w:cs="Times New Roman"/>
                      <w:color w:val="000000" w:themeColor="text1"/>
                      <w:sz w:val="21"/>
                      <w:szCs w:val="21"/>
                      <w:lang w:val="en-US" w:eastAsia="zh-CN"/>
                      <w14:textFill>
                        <w14:solidFill>
                          <w14:schemeClr w14:val="tx1"/>
                        </w14:solidFill>
                      </w14:textFill>
                    </w:rPr>
                    <w:t>及筛分机设置除尘器处理，生产区域封闭，设置喷淋设备，厂区道路硬化并设置洒水降尘，回收粉尘作为成品使用，厂区雨污分流，生活污水处理后用于农灌，洗砂废水循环使用。</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pStyle w:val="81"/>
              <w:keepNext w:val="0"/>
              <w:keepLines w:val="0"/>
              <w:pageBreakBefore w:val="0"/>
              <w:widowControl w:val="0"/>
              <w:kinsoku/>
              <w:wordWrap/>
              <w:overflowPunct/>
              <w:topLinePunct w:val="0"/>
              <w:autoSpaceDE/>
              <w:autoSpaceDN/>
              <w:bidi w:val="0"/>
              <w:adjustRightInd/>
              <w:snapToGrid/>
              <w:spacing w:before="0" w:after="0"/>
              <w:ind w:firstLine="482" w:firstLineChars="200"/>
              <w:textAlignment w:val="auto"/>
              <w:rPr>
                <w:color w:val="000000" w:themeColor="text1"/>
                <w:sz w:val="24"/>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color w:val="000000" w:themeColor="text1"/>
                <w:sz w:val="24"/>
                <w14:textFill>
                  <w14:solidFill>
                    <w14:schemeClr w14:val="tx1"/>
                  </w14:solidFill>
                </w14:textFill>
              </w:rPr>
              <w:t>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《公路安全保护条例》</w:t>
            </w:r>
            <w:r>
              <w:rPr>
                <w:color w:val="000000" w:themeColor="text1"/>
                <w:sz w:val="24"/>
                <w14:textFill>
                  <w14:solidFill>
                    <w14:schemeClr w14:val="tx1"/>
                  </w14:solidFill>
                </w14:textFill>
              </w:rPr>
              <w:t>的符合性分析</w:t>
            </w:r>
          </w:p>
          <w:p>
            <w:pPr>
              <w:pStyle w:val="79"/>
              <w:keepNext w:val="0"/>
              <w:keepLines w:val="0"/>
              <w:pageBreakBefore w:val="0"/>
              <w:widowControl w:val="0"/>
              <w:kinsoku/>
              <w:wordWrap w:val="0"/>
              <w:overflowPunct/>
              <w:topLinePunct/>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表1-</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14:textFill>
                  <w14:solidFill>
                    <w14:schemeClr w14:val="tx1"/>
                  </w14:solidFill>
                </w14:textFill>
              </w:rPr>
              <w:t>与《</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公路安全保护条例</w:t>
            </w:r>
            <w:r>
              <w:rPr>
                <w:rFonts w:hint="default" w:ascii="Times New Roman" w:hAnsi="Times New Roman" w:cs="Times New Roman"/>
                <w:color w:val="000000" w:themeColor="text1"/>
                <w:sz w:val="21"/>
                <w:szCs w:val="21"/>
                <w14:textFill>
                  <w14:solidFill>
                    <w14:schemeClr w14:val="tx1"/>
                  </w14:solidFill>
                </w14:textFill>
              </w:rPr>
              <w:t>》的符合性分析一览表</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与本项目有关的管理条例</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县级以上地方人民政府应当根据保障公路运行安全和节约用地的原则以及公路发展的需要，组织交通运输、国土资源等部门划定公路建筑控制区的范围。</w:t>
                  </w:r>
                </w:p>
                <w:p>
                  <w:pPr>
                    <w:pStyle w:val="84"/>
                    <w:keepNext w:val="0"/>
                    <w:keepLines w:val="0"/>
                    <w:pageBreakBefore w:val="0"/>
                    <w:widowControl w:val="0"/>
                    <w:kinsoku/>
                    <w:wordWrap/>
                    <w:overflowPunct/>
                    <w:topLinePunct w:val="0"/>
                    <w:autoSpaceDE w:val="0"/>
                    <w:autoSpaceDN w:val="0"/>
                    <w:bidi w:val="0"/>
                    <w:adjustRightInd/>
                    <w:snapToGrid/>
                    <w:spacing w:before="0" w:after="0"/>
                    <w:ind w:left="0"/>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公路建筑控制区的范围，从公路用地外缘起向外的距离标准为：</w:t>
                  </w:r>
                </w:p>
                <w:p>
                  <w:pPr>
                    <w:pStyle w:val="84"/>
                    <w:keepNext w:val="0"/>
                    <w:keepLines w:val="0"/>
                    <w:pageBreakBefore w:val="0"/>
                    <w:widowControl w:val="0"/>
                    <w:numPr>
                      <w:ilvl w:val="0"/>
                      <w:numId w:val="2"/>
                    </w:numPr>
                    <w:kinsoku/>
                    <w:wordWrap/>
                    <w:overflowPunct/>
                    <w:topLinePunct w:val="0"/>
                    <w:autoSpaceDE w:val="0"/>
                    <w:autoSpaceDN w:val="0"/>
                    <w:bidi w:val="0"/>
                    <w:adjustRightInd/>
                    <w:snapToGrid/>
                    <w:spacing w:before="0" w:after="0"/>
                    <w:ind w:left="0" w:leftChars="0" w:firstLine="0" w:firstLineChars="0"/>
                    <w:jc w:val="both"/>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国道不少于20米；</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（二）省道不少于15米；</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（三）县道不少于10米；</w:t>
                  </w:r>
                </w:p>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（四）乡道不少于5米。</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w:t>
                  </w:r>
                  <w:r>
                    <w:rPr>
                      <w:rFonts w:hint="default" w:ascii="Times New Roman" w:hAnsi="Times New Roman" w:cs="Times New Roman"/>
                      <w:color w:val="000000" w:themeColor="text1"/>
                      <w:sz w:val="21"/>
                      <w:szCs w:val="21"/>
                      <w:lang w:val="en-US" w:eastAsia="zh-CN"/>
                      <w14:textFill>
                        <w14:solidFill>
                          <w14:schemeClr w14:val="tx1"/>
                        </w14:solidFill>
                      </w14:textFill>
                    </w:rPr>
                    <w:t>位于省道一侧</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且项目与公路存在高差，公路</w:t>
                  </w:r>
                  <w:r>
                    <w:rPr>
                      <w:rFonts w:hint="default" w:ascii="Times New Roman" w:hAnsi="Times New Roman" w:cs="Times New Roman"/>
                      <w:color w:val="000000" w:themeColor="text1"/>
                      <w:sz w:val="21"/>
                      <w:szCs w:val="21"/>
                      <w14:textFill>
                        <w14:solidFill>
                          <w14:schemeClr w14:val="tx1"/>
                        </w14:solidFill>
                      </w14:textFill>
                    </w:rPr>
                    <w:t>所在地位置</w:t>
                  </w:r>
                  <w:r>
                    <w:rPr>
                      <w:rFonts w:hint="eastAsia" w:ascii="Times New Roman" w:hAnsi="Times New Roman" w:cs="Times New Roman"/>
                      <w:color w:val="000000" w:themeColor="text1"/>
                      <w:sz w:val="21"/>
                      <w:szCs w:val="21"/>
                      <w14:textFill>
                        <w14:solidFill>
                          <w14:schemeClr w14:val="tx1"/>
                        </w14:solidFill>
                      </w14:textFill>
                    </w:rPr>
                    <w:t>海拔</w:t>
                  </w:r>
                  <w:r>
                    <w:rPr>
                      <w:rFonts w:hint="default" w:ascii="Times New Roman" w:hAnsi="Times New Roman" w:cs="Times New Roman"/>
                      <w:color w:val="000000" w:themeColor="text1"/>
                      <w:sz w:val="21"/>
                      <w:szCs w:val="21"/>
                      <w14:textFill>
                        <w14:solidFill>
                          <w14:schemeClr w14:val="tx1"/>
                        </w14:solidFill>
                      </w14:textFill>
                    </w:rPr>
                    <w:t>高于项目地约</w:t>
                  </w:r>
                  <w:r>
                    <w:rPr>
                      <w:rFonts w:hint="eastAsia" w:ascii="Times New Roman" w:hAnsi="Times New Roman" w:cs="Times New Roman"/>
                      <w:color w:val="000000" w:themeColor="text1"/>
                      <w:sz w:val="21"/>
                      <w:szCs w:val="21"/>
                      <w:lang w:val="en-US" w:eastAsia="zh-CN"/>
                      <w14:textFill>
                        <w14:solidFill>
                          <w14:schemeClr w14:val="tx1"/>
                        </w14:solidFill>
                      </w14:textFill>
                    </w:rPr>
                    <w:t>35</w:t>
                  </w:r>
                  <w:r>
                    <w:rPr>
                      <w:rFonts w:hint="default" w:ascii="Times New Roman" w:hAnsi="Times New Roman" w:cs="Times New Roman"/>
                      <w:color w:val="000000" w:themeColor="text1"/>
                      <w:sz w:val="21"/>
                      <w:szCs w:val="21"/>
                      <w14:textFill>
                        <w14:solidFill>
                          <w14:schemeClr w14:val="tx1"/>
                        </w14:solidFill>
                      </w14:textFill>
                    </w:rPr>
                    <w:t>m</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且平面距离83m，</w:t>
                  </w:r>
                  <w:r>
                    <w:rPr>
                      <w:rFonts w:hint="default" w:ascii="Times New Roman" w:hAnsi="Times New Roman" w:cs="Times New Roman"/>
                      <w:color w:val="000000" w:themeColor="text1"/>
                      <w:sz w:val="21"/>
                      <w:szCs w:val="21"/>
                      <w:lang w:val="en-US" w:eastAsia="zh-CN"/>
                      <w14:textFill>
                        <w14:solidFill>
                          <w14:schemeClr w14:val="tx1"/>
                        </w14:solidFill>
                      </w14:textFill>
                    </w:rPr>
                    <w:t>根据选址意见（详见附件3），已经征得相关部门同意，且项目为临时加工点，服务期结束后将拆除恢复原状</w:t>
                  </w:r>
                  <w:r>
                    <w:rPr>
                      <w:rFonts w:hint="default" w:ascii="Times New Roman" w:hAnsi="Times New Roman" w:cs="Times New Roman"/>
                      <w:color w:val="000000" w:themeColor="text1"/>
                      <w:sz w:val="21"/>
                      <w:szCs w:val="21"/>
                      <w14:textFill>
                        <w14:solidFill>
                          <w14:schemeClr w14:val="tx1"/>
                        </w14:solidFill>
                      </w14:textFill>
                    </w:rPr>
                    <w:t>。</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车辆应当规范装载，装载物不得触地拖行。车辆装载物易掉落、遗洒或者飘散的，应当采取厢式密闭等有效防护措施方可在公路上行驶</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本项目在</w:t>
                  </w:r>
                  <w:r>
                    <w:rPr>
                      <w:rFonts w:hint="default" w:ascii="Times New Roman" w:hAnsi="Times New Roman" w:cs="Times New Roman"/>
                      <w:color w:val="000000" w:themeColor="text1"/>
                      <w:sz w:val="21"/>
                      <w:szCs w:val="21"/>
                      <w:lang w:val="en-US" w:eastAsia="zh-CN"/>
                      <w14:textFill>
                        <w14:solidFill>
                          <w14:schemeClr w14:val="tx1"/>
                        </w14:solidFill>
                      </w14:textFill>
                    </w:rPr>
                    <w:t>运输物料过程中要求封闭遮挡车厢，在入口设置警示牌</w:t>
                  </w:r>
                  <w:r>
                    <w:rPr>
                      <w:rFonts w:hint="eastAsia" w:ascii="Times New Roman" w:hAnsi="Times New Roman" w:cs="Times New Roman"/>
                      <w:color w:val="000000" w:themeColor="text1"/>
                      <w:sz w:val="21"/>
                      <w:szCs w:val="21"/>
                      <w:lang w:val="en-US" w:eastAsia="zh-CN"/>
                      <w14:textFill>
                        <w14:solidFill>
                          <w14:schemeClr w14:val="tx1"/>
                        </w14:solidFill>
                      </w14:textFill>
                    </w:rPr>
                    <w:t>，且项目运输路线只在项目区域内进行，不上公路。</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both"/>
              <w:textAlignment w:val="auto"/>
              <w:rPr>
                <w:rFonts w:hint="default" w:ascii="Times New Roman" w:hAnsi="Times New Roman" w:eastAsia="*FangSong-7380-Identity-H" w:cs="Times New Roman"/>
                <w:b/>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8、与</w:t>
            </w:r>
            <w:r>
              <w:rPr>
                <w:rFonts w:hint="default" w:ascii="Times New Roman" w:hAnsi="Times New Roman" w:eastAsia="*FangSong-7380-Identity-H" w:cs="Times New Roman"/>
                <w:b/>
                <w:bCs w:val="0"/>
                <w:color w:val="000000" w:themeColor="text1"/>
                <w:sz w:val="24"/>
                <w:szCs w:val="24"/>
                <w14:textFill>
                  <w14:solidFill>
                    <w14:schemeClr w14:val="tx1"/>
                  </w14:solidFill>
                </w14:textFill>
              </w:rPr>
              <w:t>《</w:t>
            </w:r>
            <w:r>
              <w:rPr>
                <w:rFonts w:hint="default" w:ascii="Times New Roman" w:hAnsi="Times New Roman" w:eastAsia="*Adobe Song Std L-Bold-7378-Ide" w:cs="Times New Roman"/>
                <w:b/>
                <w:bCs w:val="0"/>
                <w:color w:val="000000" w:themeColor="text1"/>
                <w:sz w:val="24"/>
                <w:szCs w:val="24"/>
                <w14:textFill>
                  <w14:solidFill>
                    <w14:schemeClr w14:val="tx1"/>
                  </w14:solidFill>
                </w14:textFill>
              </w:rPr>
              <w:t>2019</w:t>
            </w:r>
            <w:r>
              <w:rPr>
                <w:rFonts w:hint="default" w:ascii="Times New Roman" w:hAnsi="Times New Roman" w:eastAsia="*FangSong-7380-Identity-H" w:cs="Times New Roman"/>
                <w:b/>
                <w:bCs w:val="0"/>
                <w:color w:val="000000" w:themeColor="text1"/>
                <w:sz w:val="24"/>
                <w:szCs w:val="24"/>
                <w14:textFill>
                  <w14:solidFill>
                    <w14:schemeClr w14:val="tx1"/>
                  </w14:solidFill>
                </w14:textFill>
              </w:rPr>
              <w:t>年非金属矿行业大气污染防治攻坚战实施方案》符合性</w:t>
            </w:r>
            <w:r>
              <w:rPr>
                <w:rFonts w:hint="default" w:ascii="Times New Roman" w:hAnsi="Times New Roman" w:eastAsia="*FangSong-7380-Identity-H" w:cs="Times New Roman"/>
                <w:b/>
                <w:bCs w:val="0"/>
                <w:color w:val="000000" w:themeColor="text1"/>
                <w:sz w:val="24"/>
                <w:szCs w:val="24"/>
                <w:lang w:val="en-US" w:eastAsia="zh-CN"/>
                <w14:textFill>
                  <w14:solidFill>
                    <w14:schemeClr w14:val="tx1"/>
                  </w14:solidFill>
                </w14:textFill>
              </w:rPr>
              <w:t>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jc w:val="center"/>
              <w:textAlignment w:val="auto"/>
              <w:rPr>
                <w:rFonts w:hint="default" w:ascii="Times New Roman" w:hAnsi="Times New Roman" w:eastAsia="*FangSong-7380-Identity-H"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FangSong-7380-Identity-H" w:cs="Times New Roman"/>
                <w:b/>
                <w:bCs/>
                <w:color w:val="000000" w:themeColor="text1"/>
                <w:sz w:val="21"/>
                <w:szCs w:val="21"/>
                <w:lang w:val="en-US" w:eastAsia="zh-CN"/>
                <w14:textFill>
                  <w14:solidFill>
                    <w14:schemeClr w14:val="tx1"/>
                  </w14:solidFill>
                </w14:textFill>
              </w:rPr>
              <w:t>表1-10</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与</w:t>
            </w:r>
            <w:r>
              <w:rPr>
                <w:rFonts w:hint="default" w:ascii="Times New Roman" w:hAnsi="Times New Roman" w:eastAsia="*FangSong-7380-Identity-H" w:cs="Times New Roman"/>
                <w:b/>
                <w:bCs/>
                <w:color w:val="000000" w:themeColor="text1"/>
                <w:sz w:val="21"/>
                <w:szCs w:val="21"/>
                <w14:textFill>
                  <w14:solidFill>
                    <w14:schemeClr w14:val="tx1"/>
                  </w14:solidFill>
                </w14:textFill>
              </w:rPr>
              <w:t>《</w:t>
            </w:r>
            <w:r>
              <w:rPr>
                <w:rFonts w:hint="default" w:ascii="Times New Roman" w:hAnsi="Times New Roman" w:eastAsia="*Adobe Song Std L-Bold-7378-Ide" w:cs="Times New Roman"/>
                <w:b/>
                <w:bCs/>
                <w:color w:val="000000" w:themeColor="text1"/>
                <w:sz w:val="21"/>
                <w:szCs w:val="21"/>
                <w14:textFill>
                  <w14:solidFill>
                    <w14:schemeClr w14:val="tx1"/>
                  </w14:solidFill>
                </w14:textFill>
              </w:rPr>
              <w:t>2019</w:t>
            </w:r>
            <w:r>
              <w:rPr>
                <w:rFonts w:hint="default" w:ascii="Times New Roman" w:hAnsi="Times New Roman" w:eastAsia="*FangSong-7380-Identity-H" w:cs="Times New Roman"/>
                <w:b/>
                <w:bCs/>
                <w:color w:val="000000" w:themeColor="text1"/>
                <w:sz w:val="21"/>
                <w:szCs w:val="21"/>
                <w14:textFill>
                  <w14:solidFill>
                    <w14:schemeClr w14:val="tx1"/>
                  </w14:solidFill>
                </w14:textFill>
              </w:rPr>
              <w:t>年非金属矿行业大气污染防治攻坚战实施方案》符合性</w:t>
            </w:r>
            <w:r>
              <w:rPr>
                <w:rFonts w:hint="default" w:ascii="Times New Roman" w:hAnsi="Times New Roman" w:eastAsia="*FangSong-7380-Identity-H" w:cs="Times New Roman"/>
                <w:b/>
                <w:bCs/>
                <w:color w:val="000000" w:themeColor="text1"/>
                <w:sz w:val="21"/>
                <w:szCs w:val="21"/>
                <w:lang w:val="en-US" w:eastAsia="zh-CN"/>
                <w14:textFill>
                  <w14:solidFill>
                    <w14:schemeClr w14:val="tx1"/>
                  </w14:solidFill>
                </w14:textFill>
              </w:rPr>
              <w:t>分析</w:t>
            </w:r>
          </w:p>
          <w:tbl>
            <w:tblPr>
              <w:tblStyle w:val="27"/>
              <w:tblW w:w="7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087"/>
              <w:gridCol w:w="26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与本项目有关的</w:t>
                  </w:r>
                  <w:r>
                    <w:rPr>
                      <w:rFonts w:hint="default" w:ascii="Times New Roman" w:hAnsi="Times New Roman" w:cs="Times New Roman"/>
                      <w:color w:val="000000" w:themeColor="text1"/>
                      <w:sz w:val="21"/>
                      <w:szCs w:val="21"/>
                      <w:lang w:val="en-US" w:eastAsia="zh-CN"/>
                      <w14:textFill>
                        <w14:solidFill>
                          <w14:schemeClr w14:val="tx1"/>
                        </w14:solidFill>
                      </w14:textFill>
                    </w:rPr>
                    <w:t>内容</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本项目情况</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087" w:type="dxa"/>
                  <w:vAlign w:val="center"/>
                </w:tcPr>
                <w:p>
                  <w:pPr>
                    <w:pStyle w:val="84"/>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0"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1.严格控制新建项目。推进非矿产业准入管理标准的制定工作。建设非金属矿项目须符合国家相关产业政策、法律法规、条例等要求，不得采用国家淘汰或禁止使用的工艺、技术和设备，采用的工艺、技术和设备应符合《产业结构调整指导目录（2019年本）》《产业转移指导目录》（2017年修订）等相关要求。协会今年将重点为非矿产业集聚区提供相关准入标准的咨询服务，为石墨等矿种制定生产规范条件。</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符合国家相关产业政策、法律法规、条例等要求，不</w:t>
                  </w:r>
                  <w:r>
                    <w:rPr>
                      <w:rFonts w:hint="eastAsia"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使用</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国家淘汰或禁止使用的工艺、技术和设备，</w:t>
                  </w:r>
                  <w:r>
                    <w:rPr>
                      <w:rFonts w:hint="eastAsia"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项目</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工艺、技术和设备应符合《产业结构调整指导目录（20</w:t>
                  </w:r>
                  <w:r>
                    <w:rPr>
                      <w:rFonts w:hint="eastAsia"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24</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年本）》《产业转移指导目录》（2017年修订）等相关要求。</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强化污染物总量控制。强化非金属矿产业的污染物排放必须达标工作。污染物排放要符合国家《大气污染物综合排放标准》（GB16297-1996）《污水综合排放标准》（GB8978-1996）《一般工业固体废物贮存、处置场污染控制标准》（GB18599-2001）的有关要求和有关地方标准的规定。</w:t>
                  </w:r>
                </w:p>
              </w:tc>
              <w:tc>
                <w:tcPr>
                  <w:tcW w:w="2688"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Helvetica" w:cs="Times New Roman"/>
                      <w:i w:val="0"/>
                      <w:iCs w:val="0"/>
                      <w:caps w:val="0"/>
                      <w:color w:val="000000" w:themeColor="text1"/>
                      <w:spacing w:val="0"/>
                      <w:sz w:val="21"/>
                      <w:szCs w:val="21"/>
                      <w:lang w:val="en-US" w:eastAsia="zh-CN"/>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本项目</w:t>
                  </w:r>
                  <w:r>
                    <w:rPr>
                      <w:rFonts w:hint="eastAsia" w:ascii="Times New Roman" w:hAnsi="Times New Roman" w:eastAsia="Helvetica" w:cs="Times New Roman"/>
                      <w:i w:val="0"/>
                      <w:iCs w:val="0"/>
                      <w:caps w:val="0"/>
                      <w:color w:val="000000" w:themeColor="text1"/>
                      <w:spacing w:val="0"/>
                      <w:sz w:val="21"/>
                      <w:szCs w:val="21"/>
                      <w:lang w:val="en-US" w:eastAsia="zh-CN"/>
                      <w14:textFill>
                        <w14:solidFill>
                          <w14:schemeClr w14:val="tx1"/>
                        </w14:solidFill>
                      </w14:textFill>
                    </w:rPr>
                    <w:t>采用除尘设备处理达标排放，</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污染物排放符合国家《大气污染物综合排放标准》（GB16297-1996）</w:t>
                  </w:r>
                  <w:r>
                    <w:rPr>
                      <w:rFonts w:hint="default" w:ascii="Times New Roman" w:hAnsi="Times New Roman" w:eastAsia="Helvetica" w:cs="Times New Roman"/>
                      <w:i w:val="0"/>
                      <w:iCs w:val="0"/>
                      <w:caps w:val="0"/>
                      <w:color w:val="000000" w:themeColor="text1"/>
                      <w:spacing w:val="0"/>
                      <w:sz w:val="21"/>
                      <w:szCs w:val="21"/>
                      <w:lang w:val="en-US" w:eastAsia="zh-CN"/>
                      <w14:textFill>
                        <w14:solidFill>
                          <w14:schemeClr w14:val="tx1"/>
                        </w14:solidFill>
                      </w14:textFill>
                    </w:rPr>
                    <w:t>《一般工业固体废物贮存和填埋污染控制标准》（GB18599-2020）</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的有关要求和有关地方标准的规定。</w:t>
                  </w:r>
                </w:p>
              </w:tc>
              <w:tc>
                <w:tcPr>
                  <w:tcW w:w="744"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599"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3087" w:type="dxa"/>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全面加强扬尘污染控制。落实大气法和扬尘污染防控条例，完善扬尘污染督查督导机制，加强扬尘污染源执法监管。配合政府对扬尘污染防治工作进行统筹管理，定期或不定期对重点扬尘污染源开展现场检查，加强对扬尘污染问题研究。根据《建设工程扬尘污染防治技术手册》要求，对施工工地进行排查，对未能达到要求的施工工地进行限期治理。要求企业采用喷雾等抑尘设备，加强对易产生扬尘工序的污染控制和监测。</w:t>
                  </w:r>
                </w:p>
              </w:tc>
              <w:tc>
                <w:tcPr>
                  <w:tcW w:w="2688" w:type="dxa"/>
                  <w:shd w:val="clear" w:color="auto" w:fill="auto"/>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项目采用隧道渣土为原料，经过破碎筛分后产生机制砂，项目采用干法加工，设置除尘器对粉尘收集处理，设置喷淋喷雾</w:t>
                  </w:r>
                  <w:r>
                    <w:rPr>
                      <w:rFonts w:hint="default" w:ascii="Times New Roman" w:hAnsi="Times New Roman" w:eastAsia="Helvetica" w:cs="Times New Roman"/>
                      <w:i w:val="0"/>
                      <w:iCs w:val="0"/>
                      <w:caps w:val="0"/>
                      <w:color w:val="000000" w:themeColor="text1"/>
                      <w:spacing w:val="0"/>
                      <w:sz w:val="21"/>
                      <w:szCs w:val="21"/>
                      <w14:textFill>
                        <w14:solidFill>
                          <w14:schemeClr w14:val="tx1"/>
                        </w14:solidFill>
                      </w14:textFill>
                    </w:rPr>
                    <w:t>等抑尘设备</w:t>
                  </w:r>
                  <w:r>
                    <w:rPr>
                      <w:rFonts w:hint="default" w:ascii="Times New Roman" w:hAnsi="Times New Roman" w:cs="Times New Roman"/>
                      <w:color w:val="000000" w:themeColor="text1"/>
                      <w:sz w:val="21"/>
                      <w:szCs w:val="21"/>
                      <w14:textFill>
                        <w14:solidFill>
                          <w14:schemeClr w14:val="tx1"/>
                        </w14:solidFill>
                      </w14:textFill>
                    </w:rPr>
                    <w:t>。</w:t>
                  </w:r>
                </w:p>
              </w:tc>
              <w:tc>
                <w:tcPr>
                  <w:tcW w:w="744" w:type="dxa"/>
                  <w:shd w:val="clear" w:color="auto" w:fill="auto"/>
                  <w:vAlign w:val="center"/>
                </w:tcPr>
                <w:p>
                  <w:pPr>
                    <w:pStyle w:val="84"/>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both"/>
              <w:textAlignment w:val="auto"/>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bookmarkStart w:id="5" w:name="_Toc1591"/>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、与《</w:t>
            </w:r>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十四五</w:t>
            </w:r>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t>噪声污染防治行动计划》的符合性分析</w:t>
            </w:r>
            <w:bookmarkEnd w:id="5"/>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kern w:val="0"/>
                <w:sz w:val="24"/>
              </w:rPr>
            </w:pPr>
            <w:r>
              <w:rPr>
                <w:rFonts w:hint="eastAsia" w:ascii="Times New Roman" w:hAnsi="Times New Roman" w:cs="Times New Roman"/>
                <w:b/>
                <w:bCs/>
                <w:sz w:val="21"/>
                <w:szCs w:val="21"/>
              </w:rPr>
              <w:t>表1-</w:t>
            </w:r>
            <w:r>
              <w:rPr>
                <w:rFonts w:hint="eastAsia" w:ascii="Times New Roman" w:hAnsi="Times New Roman" w:cs="Times New Roman"/>
                <w:b/>
                <w:bCs/>
                <w:sz w:val="21"/>
                <w:szCs w:val="21"/>
                <w:lang w:val="en-US" w:eastAsia="zh-CN"/>
              </w:rPr>
              <w:t>11</w:t>
            </w:r>
            <w:r>
              <w:rPr>
                <w:rFonts w:hint="eastAsia" w:ascii="Times New Roman" w:hAnsi="Times New Roman" w:cs="Times New Roman"/>
                <w:b/>
                <w:bCs/>
                <w:sz w:val="21"/>
                <w:szCs w:val="21"/>
              </w:rPr>
              <w:t>项目与《“十四五”噪声污染防治行动计划》的符合性</w:t>
            </w:r>
          </w:p>
          <w:tbl>
            <w:tblPr>
              <w:tblStyle w:val="26"/>
              <w:tblW w:w="6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012"/>
              <w:gridCol w:w="2778"/>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b/>
                      <w:szCs w:val="21"/>
                    </w:rPr>
                  </w:pPr>
                  <w:r>
                    <w:rPr>
                      <w:b/>
                      <w:szCs w:val="21"/>
                    </w:rPr>
                    <w:t>序号</w:t>
                  </w:r>
                </w:p>
              </w:tc>
              <w:tc>
                <w:tcPr>
                  <w:tcW w:w="3012" w:type="dxa"/>
                  <w:vAlign w:val="center"/>
                </w:tcPr>
                <w:p>
                  <w:pPr>
                    <w:adjustRightInd w:val="0"/>
                    <w:snapToGrid w:val="0"/>
                    <w:jc w:val="center"/>
                    <w:rPr>
                      <w:b/>
                      <w:szCs w:val="21"/>
                    </w:rPr>
                  </w:pPr>
                  <w:r>
                    <w:rPr>
                      <w:b/>
                      <w:szCs w:val="21"/>
                    </w:rPr>
                    <w:t>相关内容</w:t>
                  </w:r>
                </w:p>
              </w:tc>
              <w:tc>
                <w:tcPr>
                  <w:tcW w:w="2778" w:type="dxa"/>
                  <w:vAlign w:val="center"/>
                </w:tcPr>
                <w:p>
                  <w:pPr>
                    <w:adjustRightInd w:val="0"/>
                    <w:snapToGrid w:val="0"/>
                    <w:jc w:val="center"/>
                    <w:rPr>
                      <w:b/>
                      <w:szCs w:val="21"/>
                    </w:rPr>
                  </w:pPr>
                  <w:r>
                    <w:rPr>
                      <w:b/>
                      <w:szCs w:val="21"/>
                    </w:rPr>
                    <w:t>本项目情况</w:t>
                  </w:r>
                </w:p>
              </w:tc>
              <w:tc>
                <w:tcPr>
                  <w:tcW w:w="519" w:type="dxa"/>
                  <w:vAlign w:val="center"/>
                </w:tcPr>
                <w:p>
                  <w:pPr>
                    <w:adjustRightInd w:val="0"/>
                    <w:snapToGrid w:val="0"/>
                    <w:jc w:val="center"/>
                    <w:rPr>
                      <w:b/>
                      <w:szCs w:val="21"/>
                    </w:rPr>
                  </w:pPr>
                  <w:r>
                    <w:rPr>
                      <w:b/>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szCs w:val="21"/>
                    </w:rPr>
                  </w:pPr>
                  <w:r>
                    <w:rPr>
                      <w:szCs w:val="21"/>
                    </w:rPr>
                    <w:t>1</w:t>
                  </w:r>
                </w:p>
              </w:tc>
              <w:tc>
                <w:tcPr>
                  <w:tcW w:w="3012" w:type="dxa"/>
                  <w:vAlign w:val="center"/>
                </w:tcPr>
                <w:p>
                  <w:pPr>
                    <w:adjustRightInd w:val="0"/>
                    <w:snapToGrid w:val="0"/>
                    <w:jc w:val="center"/>
                    <w:rPr>
                      <w:szCs w:val="21"/>
                    </w:rPr>
                  </w:pPr>
                  <w:r>
                    <w:rPr>
                      <w:szCs w:val="21"/>
                    </w:rPr>
                    <w:t>8.严格落实噪声污染防治要求。制定修改相关规划、建设对环境有影响的项目时，应依法开展环评,对可能产生噪声与振动的影响进行分析、预测和评估，积极采取噪声污染防治对策措施。建设项目的噪声污染防治设施应当与主体工程同时设计、同时施工、同时投产使用。督促建设单位依法开展竣工环境保护验收，加大事中事后监管力度，确保各项措施落地见效。</w:t>
                  </w:r>
                </w:p>
              </w:tc>
              <w:tc>
                <w:tcPr>
                  <w:tcW w:w="2778" w:type="dxa"/>
                  <w:vAlign w:val="center"/>
                </w:tcPr>
                <w:p>
                  <w:pPr>
                    <w:adjustRightInd w:val="0"/>
                    <w:snapToGrid w:val="0"/>
                    <w:jc w:val="center"/>
                    <w:rPr>
                      <w:szCs w:val="21"/>
                    </w:rPr>
                  </w:pPr>
                  <w:r>
                    <w:rPr>
                      <w:bCs/>
                      <w:snapToGrid w:val="0"/>
                      <w:kern w:val="0"/>
                      <w:szCs w:val="21"/>
                    </w:rPr>
                    <w:t>项目运营期噪声</w:t>
                  </w:r>
                  <w:r>
                    <w:rPr>
                      <w:szCs w:val="21"/>
                    </w:rPr>
                    <w:t>主要为设备噪声。运营期设备运行噪声通过构筑物隔声，</w:t>
                  </w:r>
                  <w:r>
                    <w:rPr>
                      <w:rFonts w:hint="eastAsia"/>
                      <w:szCs w:val="21"/>
                      <w:lang w:val="en-US" w:eastAsia="zh-CN"/>
                    </w:rPr>
                    <w:t>基础减震，</w:t>
                  </w:r>
                  <w:r>
                    <w:rPr>
                      <w:szCs w:val="21"/>
                    </w:rPr>
                    <w:t>加强管理，</w:t>
                  </w:r>
                  <w:r>
                    <w:rPr>
                      <w:rFonts w:hint="eastAsia"/>
                      <w:szCs w:val="21"/>
                    </w:rPr>
                    <w:t>合理安排施工时间，</w:t>
                  </w:r>
                  <w:r>
                    <w:rPr>
                      <w:szCs w:val="21"/>
                    </w:rPr>
                    <w:t>选用低噪声设备，厂区</w:t>
                  </w:r>
                  <w:r>
                    <w:rPr>
                      <w:rFonts w:hint="eastAsia"/>
                      <w:szCs w:val="21"/>
                      <w:lang w:val="en-US" w:eastAsia="zh-CN"/>
                    </w:rPr>
                    <w:t>经厂房</w:t>
                  </w:r>
                  <w:r>
                    <w:rPr>
                      <w:szCs w:val="21"/>
                    </w:rPr>
                    <w:t>隔声、</w:t>
                  </w:r>
                  <w:r>
                    <w:rPr>
                      <w:rFonts w:hint="eastAsia"/>
                      <w:szCs w:val="21"/>
                      <w:lang w:val="en-US" w:eastAsia="zh-CN"/>
                    </w:rPr>
                    <w:t>基础减震</w:t>
                  </w:r>
                  <w:r>
                    <w:rPr>
                      <w:rFonts w:hint="eastAsia"/>
                      <w:szCs w:val="21"/>
                    </w:rPr>
                    <w:t>等措施降低生产噪声</w:t>
                  </w:r>
                  <w:r>
                    <w:rPr>
                      <w:szCs w:val="21"/>
                    </w:rPr>
                    <w:t>。</w:t>
                  </w:r>
                  <w:r>
                    <w:rPr>
                      <w:rFonts w:hint="eastAsia"/>
                      <w:szCs w:val="21"/>
                    </w:rPr>
                    <w:t>此外，</w:t>
                  </w:r>
                  <w:r>
                    <w:rPr>
                      <w:szCs w:val="21"/>
                    </w:rPr>
                    <w:t>运输车辆限速行驶</w:t>
                  </w:r>
                  <w:r>
                    <w:rPr>
                      <w:rFonts w:hint="eastAsia"/>
                      <w:szCs w:val="21"/>
                    </w:rPr>
                    <w:t>，厂区内</w:t>
                  </w:r>
                  <w:r>
                    <w:rPr>
                      <w:szCs w:val="21"/>
                    </w:rPr>
                    <w:t>禁止鸣笛</w:t>
                  </w:r>
                  <w:r>
                    <w:rPr>
                      <w:rFonts w:hint="eastAsia"/>
                      <w:szCs w:val="21"/>
                    </w:rPr>
                    <w:t>。</w:t>
                  </w:r>
                  <w:r>
                    <w:rPr>
                      <w:snapToGrid w:val="0"/>
                      <w:kern w:val="0"/>
                      <w:szCs w:val="21"/>
                    </w:rPr>
                    <w:t>建设单位已按要求正在进行环境影响报告的编制。项目运营期将实行</w:t>
                  </w:r>
                  <w:r>
                    <w:rPr>
                      <w:rFonts w:hint="eastAsia" w:ascii="宋体" w:hAnsi="宋体" w:cs="宋体"/>
                      <w:snapToGrid w:val="0"/>
                      <w:kern w:val="0"/>
                      <w:szCs w:val="21"/>
                    </w:rPr>
                    <w:t>“</w:t>
                  </w:r>
                  <w:r>
                    <w:rPr>
                      <w:snapToGrid w:val="0"/>
                      <w:kern w:val="0"/>
                      <w:szCs w:val="21"/>
                    </w:rPr>
                    <w:t>三同时</w:t>
                  </w:r>
                  <w:r>
                    <w:rPr>
                      <w:rFonts w:hint="eastAsia" w:ascii="宋体" w:hAnsi="宋体" w:cs="宋体"/>
                      <w:snapToGrid w:val="0"/>
                      <w:kern w:val="0"/>
                      <w:szCs w:val="21"/>
                    </w:rPr>
                    <w:t>”</w:t>
                  </w:r>
                  <w:r>
                    <w:rPr>
                      <w:snapToGrid w:val="0"/>
                      <w:kern w:val="0"/>
                      <w:szCs w:val="21"/>
                    </w:rPr>
                    <w:t>制度，采取有效的噪声防治措施减小对周围环境的影响。项目建成投运前将依法进项验收工作，验收通过方可投入生产。</w:t>
                  </w:r>
                </w:p>
              </w:tc>
              <w:tc>
                <w:tcPr>
                  <w:tcW w:w="519" w:type="dxa"/>
                  <w:vAlign w:val="center"/>
                </w:tcPr>
                <w:p>
                  <w:pPr>
                    <w:adjustRightInd w:val="0"/>
                    <w:snapToGri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szCs w:val="21"/>
                    </w:rPr>
                  </w:pPr>
                  <w:r>
                    <w:rPr>
                      <w:szCs w:val="21"/>
                    </w:rPr>
                    <w:t>2</w:t>
                  </w:r>
                </w:p>
              </w:tc>
              <w:tc>
                <w:tcPr>
                  <w:tcW w:w="3012" w:type="dxa"/>
                  <w:vAlign w:val="center"/>
                </w:tcPr>
                <w:p>
                  <w:pPr>
                    <w:adjustRightInd w:val="0"/>
                    <w:snapToGrid w:val="0"/>
                    <w:jc w:val="center"/>
                    <w:rPr>
                      <w:szCs w:val="21"/>
                    </w:rPr>
                  </w:pPr>
                  <w:r>
                    <w:rPr>
                      <w:szCs w:val="21"/>
                    </w:rPr>
                    <w:t>11.树立工业噪声污染治理标杆。排放噪声的工业企业应切实采取减振降噪措施，加强厂区内固定设备、运输工具、货物装卸等噪声源管理，同时避免突发噪声扰民。鼓励企业采用先进治理技术，打造行业噪声污染治理示范典型。中央企业要主动承担社会责任,切实发挥模范带头和弓|领示范作用，创建一批行业标杆。</w:t>
                  </w:r>
                </w:p>
              </w:tc>
              <w:tc>
                <w:tcPr>
                  <w:tcW w:w="2778" w:type="dxa"/>
                  <w:vAlign w:val="center"/>
                </w:tcPr>
                <w:p>
                  <w:pPr>
                    <w:adjustRightInd w:val="0"/>
                    <w:snapToGrid w:val="0"/>
                    <w:jc w:val="center"/>
                    <w:rPr>
                      <w:bCs/>
                      <w:snapToGrid w:val="0"/>
                      <w:kern w:val="0"/>
                      <w:szCs w:val="21"/>
                    </w:rPr>
                  </w:pPr>
                  <w:r>
                    <w:rPr>
                      <w:bCs/>
                      <w:snapToGrid w:val="0"/>
                      <w:kern w:val="0"/>
                      <w:szCs w:val="21"/>
                    </w:rPr>
                    <w:t>本项目采取有效</w:t>
                  </w:r>
                  <w:r>
                    <w:rPr>
                      <w:szCs w:val="21"/>
                    </w:rPr>
                    <w:t>减振降噪措施，设备运行噪声运营期设备运行噪声通过构筑物隔声，加强管理，合理安排施工时间，选用低噪声设备，厂区</w:t>
                  </w:r>
                  <w:r>
                    <w:rPr>
                      <w:rFonts w:hint="eastAsia"/>
                      <w:szCs w:val="21"/>
                      <w:lang w:val="en-US" w:eastAsia="zh-CN"/>
                    </w:rPr>
                    <w:t>经厂房</w:t>
                  </w:r>
                  <w:r>
                    <w:rPr>
                      <w:szCs w:val="21"/>
                    </w:rPr>
                    <w:t>隔声、</w:t>
                  </w:r>
                  <w:r>
                    <w:rPr>
                      <w:rFonts w:hint="eastAsia"/>
                      <w:szCs w:val="21"/>
                      <w:lang w:val="en-US" w:eastAsia="zh-CN"/>
                    </w:rPr>
                    <w:t>基础减震</w:t>
                  </w:r>
                  <w:r>
                    <w:rPr>
                      <w:rFonts w:hint="eastAsia"/>
                      <w:szCs w:val="21"/>
                    </w:rPr>
                    <w:t>等措施降低生产噪声</w:t>
                  </w:r>
                  <w:r>
                    <w:rPr>
                      <w:szCs w:val="21"/>
                    </w:rPr>
                    <w:t>。此外，此外，运输车辆限速行驶，厂区内禁止鸣笛。项目运输车辆应尽量避开沿途有敏感点的线路。</w:t>
                  </w:r>
                </w:p>
              </w:tc>
              <w:tc>
                <w:tcPr>
                  <w:tcW w:w="519" w:type="dxa"/>
                  <w:vAlign w:val="center"/>
                </w:tcPr>
                <w:p>
                  <w:pPr>
                    <w:adjustRightInd w:val="0"/>
                    <w:snapToGrid w:val="0"/>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adjustRightInd w:val="0"/>
                    <w:snapToGrid w:val="0"/>
                    <w:jc w:val="center"/>
                    <w:rPr>
                      <w:szCs w:val="21"/>
                    </w:rPr>
                  </w:pPr>
                  <w:r>
                    <w:rPr>
                      <w:szCs w:val="21"/>
                    </w:rPr>
                    <w:t>3</w:t>
                  </w:r>
                </w:p>
              </w:tc>
              <w:tc>
                <w:tcPr>
                  <w:tcW w:w="3012" w:type="dxa"/>
                  <w:vAlign w:val="center"/>
                </w:tcPr>
                <w:p>
                  <w:pPr>
                    <w:adjustRightInd w:val="0"/>
                    <w:snapToGrid w:val="0"/>
                    <w:jc w:val="center"/>
                    <w:rPr>
                      <w:szCs w:val="21"/>
                    </w:rPr>
                  </w:pPr>
                  <w:r>
                    <w:rPr>
                      <w:szCs w:val="21"/>
                    </w:rPr>
                    <w:t>13.推进工业噪声实施排污许可和重点排污单位管理。发布工业噪声排污许可证申请与核发技术规范，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w:t>
                  </w:r>
                </w:p>
              </w:tc>
              <w:tc>
                <w:tcPr>
                  <w:tcW w:w="2778" w:type="dxa"/>
                  <w:vAlign w:val="center"/>
                </w:tcPr>
                <w:p>
                  <w:pPr>
                    <w:adjustRightInd w:val="0"/>
                    <w:snapToGrid w:val="0"/>
                    <w:jc w:val="center"/>
                    <w:rPr>
                      <w:bCs/>
                      <w:snapToGrid w:val="0"/>
                      <w:kern w:val="0"/>
                      <w:szCs w:val="21"/>
                    </w:rPr>
                  </w:pPr>
                  <w:r>
                    <w:rPr>
                      <w:bCs/>
                      <w:snapToGrid w:val="0"/>
                      <w:kern w:val="0"/>
                      <w:szCs w:val="21"/>
                    </w:rPr>
                    <w:t>本项目噪声实施排污许可管理，项目建设完成投入运营前将严格按照《排污许可证申请与核发技术规范总则》（HJ942-2018）中相关要求进行排污许可申报</w:t>
                  </w:r>
                  <w:r>
                    <w:rPr>
                      <w:rFonts w:hint="eastAsia"/>
                      <w:bCs/>
                      <w:snapToGrid w:val="0"/>
                      <w:kern w:val="0"/>
                      <w:szCs w:val="21"/>
                    </w:rPr>
                    <w:t>。</w:t>
                  </w:r>
                  <w:r>
                    <w:rPr>
                      <w:bCs/>
                      <w:snapToGrid w:val="0"/>
                      <w:kern w:val="0"/>
                      <w:szCs w:val="21"/>
                    </w:rPr>
                    <w:t>并严格按照</w:t>
                  </w:r>
                  <w:r>
                    <w:rPr>
                      <w:rFonts w:hint="eastAsia"/>
                      <w:bCs/>
                      <w:snapToGrid w:val="0"/>
                      <w:kern w:val="0"/>
                      <w:szCs w:val="21"/>
                      <w:lang w:eastAsia="zh-CN"/>
                    </w:rPr>
                    <w:t>《排污单位自行监测技术指南总则》（HJ819-2017）</w:t>
                  </w:r>
                  <w:r>
                    <w:rPr>
                      <w:bCs/>
                      <w:snapToGrid w:val="0"/>
                      <w:kern w:val="0"/>
                      <w:szCs w:val="21"/>
                    </w:rPr>
                    <w:t>要求进行自行监测，</w:t>
                  </w:r>
                  <w:r>
                    <w:rPr>
                      <w:szCs w:val="21"/>
                    </w:rPr>
                    <w:t>并向社会公开。</w:t>
                  </w:r>
                </w:p>
              </w:tc>
              <w:tc>
                <w:tcPr>
                  <w:tcW w:w="519" w:type="dxa"/>
                  <w:vAlign w:val="center"/>
                </w:tcPr>
                <w:p>
                  <w:pPr>
                    <w:adjustRightInd w:val="0"/>
                    <w:snapToGrid w:val="0"/>
                    <w:jc w:val="center"/>
                    <w:rPr>
                      <w:szCs w:val="21"/>
                    </w:rPr>
                  </w:pPr>
                  <w:r>
                    <w:rPr>
                      <w:szCs w:val="21"/>
                    </w:rPr>
                    <w:t>符合</w:t>
                  </w:r>
                </w:p>
              </w:tc>
            </w:tr>
          </w:tbl>
          <w:p>
            <w:pPr>
              <w:pStyle w:val="25"/>
              <w:spacing w:line="360" w:lineRule="auto"/>
              <w:ind w:left="0" w:leftChars="0" w:firstLine="480"/>
              <w:rPr>
                <w:sz w:val="24"/>
                <w:szCs w:val="24"/>
              </w:rPr>
            </w:pPr>
            <w:r>
              <w:rPr>
                <w:sz w:val="24"/>
                <w:szCs w:val="24"/>
              </w:rPr>
              <w:t>综上，本项目符合《</w:t>
            </w:r>
            <w:r>
              <w:rPr>
                <w:rFonts w:hint="eastAsia" w:ascii="宋体" w:hAnsi="宋体" w:cs="宋体"/>
                <w:sz w:val="24"/>
                <w:szCs w:val="24"/>
              </w:rPr>
              <w:t>“</w:t>
            </w:r>
            <w:r>
              <w:rPr>
                <w:sz w:val="24"/>
                <w:szCs w:val="24"/>
              </w:rPr>
              <w:t>十四五</w:t>
            </w:r>
            <w:r>
              <w:rPr>
                <w:rFonts w:hint="eastAsia" w:ascii="宋体" w:hAnsi="宋体" w:cs="宋体"/>
                <w:sz w:val="24"/>
                <w:szCs w:val="24"/>
              </w:rPr>
              <w:t>”</w:t>
            </w:r>
            <w:r>
              <w:rPr>
                <w:sz w:val="24"/>
                <w:szCs w:val="24"/>
              </w:rPr>
              <w:t>噪声污染防治行动计划》的相关要求。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kern w:val="2"/>
                <w:sz w:val="24"/>
                <w:szCs w:val="24"/>
              </w:rPr>
            </w:pPr>
            <w:r>
              <w:rPr>
                <w:rFonts w:hint="default" w:ascii="Times New Roman" w:hAnsi="Times New Roman" w:cs="Times New Roman"/>
                <w:b/>
                <w:bCs/>
                <w:sz w:val="24"/>
                <w:szCs w:val="24"/>
              </w:rPr>
              <w:t>1</w:t>
            </w:r>
            <w:r>
              <w:rPr>
                <w:rFonts w:hint="eastAsia" w:ascii="Times New Roman" w:hAnsi="Times New Roman" w:cs="Times New Roman"/>
                <w:b/>
                <w:bCs/>
                <w:sz w:val="24"/>
                <w:szCs w:val="24"/>
                <w:lang w:val="en-US" w:eastAsia="zh-CN"/>
              </w:rPr>
              <w:t>0</w:t>
            </w:r>
            <w:r>
              <w:rPr>
                <w:rFonts w:hint="default" w:ascii="Times New Roman" w:hAnsi="Times New Roman" w:cs="Times New Roman"/>
                <w:b/>
                <w:bCs/>
                <w:sz w:val="24"/>
                <w:szCs w:val="24"/>
              </w:rPr>
              <w:t>、与《云南省长江经济带发展负面清单指南实施细则(试行,2022年版)》的符合性分析</w:t>
            </w:r>
          </w:p>
          <w:p>
            <w:pPr>
              <w:spacing w:line="240" w:lineRule="auto"/>
              <w:ind w:firstLine="0" w:firstLineChars="0"/>
              <w:jc w:val="center"/>
              <w:rPr>
                <w:rFonts w:hint="default" w:ascii="Times New Roman" w:hAnsi="Times New Roman" w:cs="Times New Roman" w:eastAsiaTheme="minorEastAsia"/>
                <w:b/>
                <w:bCs/>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1-12</w:t>
            </w:r>
            <w:r>
              <w:rPr>
                <w:rFonts w:hint="default" w:ascii="Times New Roman" w:hAnsi="Times New Roman" w:cs="Times New Roman" w:eastAsiaTheme="minorEastAsia"/>
                <w:b/>
                <w:bCs/>
                <w:color w:val="000000" w:themeColor="text1"/>
                <w:sz w:val="21"/>
                <w:szCs w:val="21"/>
                <w14:textFill>
                  <w14:solidFill>
                    <w14:schemeClr w14:val="tx1"/>
                  </w14:solidFill>
                </w14:textFill>
              </w:rPr>
              <w:t>项目与《云南省长江经济带发展负面清</w:t>
            </w:r>
            <w:r>
              <w:rPr>
                <w:rFonts w:hint="default" w:ascii="Times New Roman" w:hAnsi="Times New Roman" w:cs="Times New Roman"/>
                <w:b/>
                <w:bCs/>
                <w:color w:val="000000" w:themeColor="text1"/>
                <w:sz w:val="21"/>
                <w:szCs w:val="21"/>
                <w:lang w:eastAsia="zh-CN"/>
                <w14:textFill>
                  <w14:solidFill>
                    <w14:schemeClr w14:val="tx1"/>
                  </w14:solidFill>
                </w14:textFill>
              </w:rPr>
              <w:t>单</w:t>
            </w:r>
            <w:r>
              <w:rPr>
                <w:rFonts w:hint="default" w:ascii="Times New Roman" w:hAnsi="Times New Roman" w:cs="Times New Roman" w:eastAsiaTheme="minorEastAsia"/>
                <w:b/>
                <w:bCs/>
                <w:color w:val="000000" w:themeColor="text1"/>
                <w:sz w:val="21"/>
                <w:szCs w:val="21"/>
                <w14:textFill>
                  <w14:solidFill>
                    <w14:schemeClr w14:val="tx1"/>
                  </w14:solidFill>
                </w14:textFill>
              </w:rPr>
              <w:t>指南实施细则》（摘录）相符性分析</w:t>
            </w:r>
          </w:p>
          <w:tbl>
            <w:tblPr>
              <w:tblStyle w:val="26"/>
              <w:tblW w:w="7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420"/>
              <w:gridCol w:w="2309"/>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序号</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《指南》要求</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本项目</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1</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禁止一切不符合主体功能定位的投资建设项目，严禁任意改变用途，因国家重大战略资源勘查需要，在不影响主体功能定位的前提下，经依法批准后予以安排勘查项目。</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w:t>
                  </w:r>
                  <w:r>
                    <w:rPr>
                      <w:rFonts w:hint="default" w:ascii="Times New Roman" w:hAnsi="Times New Roman" w:cs="Times New Roman"/>
                      <w:bCs/>
                      <w:color w:val="000000" w:themeColor="text1"/>
                      <w:kern w:val="28"/>
                      <w:sz w:val="21"/>
                      <w:szCs w:val="21"/>
                      <w14:textFill>
                        <w14:solidFill>
                          <w14:schemeClr w14:val="tx1"/>
                        </w14:solidFill>
                      </w14:textFill>
                    </w:rPr>
                    <w:t>符合主体功能定位</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2</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禁止在《全国重要江河湖泊水功能区划》划定的河段保护区、保留区内投资建设不利于水资源及自然生态保护的项目。</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不在划定的河段保护区及保留区内。</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3</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不新增占地，项目不在云南省生态保护红线范围内，符合生态保护红线要求。</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4</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w:t>
                  </w:r>
                  <w:r>
                    <w:rPr>
                      <w:rFonts w:hint="eastAsia" w:ascii="Times New Roman" w:hAnsi="Times New Roman" w:cs="Times New Roman"/>
                      <w:bCs/>
                      <w:color w:val="000000" w:themeColor="text1"/>
                      <w:kern w:val="28"/>
                      <w:sz w:val="21"/>
                      <w:szCs w:val="21"/>
                      <w:lang w:eastAsia="zh-CN"/>
                      <w14:textFill>
                        <w14:solidFill>
                          <w14:schemeClr w14:val="tx1"/>
                        </w14:solidFill>
                      </w14:textFill>
                    </w:rPr>
                    <w:t>“</w:t>
                  </w:r>
                  <w:r>
                    <w:rPr>
                      <w:rFonts w:hint="default" w:ascii="Times New Roman" w:hAnsi="Times New Roman" w:cs="Times New Roman"/>
                      <w:bCs/>
                      <w:color w:val="000000" w:themeColor="text1"/>
                      <w:kern w:val="28"/>
                      <w:sz w:val="21"/>
                      <w:szCs w:val="21"/>
                      <w14:textFill>
                        <w14:solidFill>
                          <w14:schemeClr w14:val="tx1"/>
                        </w14:solidFill>
                      </w14:textFill>
                    </w:rPr>
                    <w:t>非农化</w:t>
                  </w:r>
                  <w:r>
                    <w:rPr>
                      <w:rFonts w:hint="eastAsia" w:ascii="Times New Roman" w:hAnsi="Times New Roman" w:cs="Times New Roman"/>
                      <w:bCs/>
                      <w:color w:val="000000" w:themeColor="text1"/>
                      <w:kern w:val="28"/>
                      <w:sz w:val="21"/>
                      <w:szCs w:val="21"/>
                      <w:lang w:eastAsia="zh-CN"/>
                      <w14:textFill>
                        <w14:solidFill>
                          <w14:schemeClr w14:val="tx1"/>
                        </w14:solidFill>
                      </w14:textFill>
                    </w:rPr>
                    <w:t>”</w:t>
                  </w:r>
                  <w:r>
                    <w:rPr>
                      <w:rFonts w:hint="default" w:ascii="Times New Roman" w:hAnsi="Times New Roman" w:cs="Times New Roman"/>
                      <w:bCs/>
                      <w:color w:val="000000" w:themeColor="text1"/>
                      <w:kern w:val="28"/>
                      <w:sz w:val="21"/>
                      <w:szCs w:val="21"/>
                      <w14:textFill>
                        <w14:solidFill>
                          <w14:schemeClr w14:val="tx1"/>
                        </w14:solidFill>
                      </w14:textFill>
                    </w:rPr>
                    <w:t>。</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5</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自然保护区核心区、缓冲区建设任何生产设施。禁止在自然保护区的实验区内建设污染环境、破坏资源或者景观的生产设施和污染物排放超过国家和地方规定的污染物排放标准的其他项目。禁止在自然保护区内进行砍伐、放牧、狩猎、捕捞、采药、开垦、烧荒、开矿、采石、挖沙等活动，法律、行政法规另有规定的除外。</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不涉及自然保护区。</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6</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风景名胜区规划未经批准前或者违反经批准的风景名胜区规划进行各类建设活动。禁止在风景名胜区内设立各类开发区和在核心景区内投资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不涉及风景名胜区。</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7</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禁止在饮用水水源一级保护区的岸线和河</w:t>
                  </w:r>
                </w:p>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lang w:eastAsia="zh-CN"/>
                      <w14:textFill>
                        <w14:solidFill>
                          <w14:schemeClr w14:val="tx1"/>
                        </w14:solidFill>
                      </w14:textFill>
                    </w:rPr>
                    <w:t>项目</w:t>
                  </w:r>
                  <w:r>
                    <w:rPr>
                      <w:rFonts w:hint="default" w:ascii="Times New Roman" w:hAnsi="Times New Roman" w:cs="Times New Roman"/>
                      <w:bCs/>
                      <w:color w:val="000000" w:themeColor="text1"/>
                      <w:kern w:val="28"/>
                      <w:sz w:val="21"/>
                      <w:szCs w:val="21"/>
                      <w14:textFill>
                        <w14:solidFill>
                          <w14:schemeClr w14:val="tx1"/>
                        </w14:solidFill>
                      </w14:textFill>
                    </w:rPr>
                    <w:t>不涉及饮用水源保护区。</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8</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禁止在合规园区外新建、扩建钢铁、石化、化工、焦化、建材、有色等高污染项目。禁止新增钢铁、水泥、平板玻璃等行业建设产能，确有必要建设的，应按规定实施产能等量或减量置换。</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1"/>
                      <w:szCs w:val="21"/>
                      <w14:textFill>
                        <w14:solidFill>
                          <w14:schemeClr w14:val="tx1"/>
                        </w14:solidFill>
                      </w14:textFill>
                    </w:rPr>
                    <w:t>项目</w:t>
                  </w:r>
                  <w:r>
                    <w:rPr>
                      <w:rFonts w:hint="default" w:ascii="Times New Roman" w:hAnsi="Times New Roman" w:cs="Times New Roman"/>
                      <w:color w:val="000000" w:themeColor="text1"/>
                      <w:sz w:val="21"/>
                      <w:szCs w:val="21"/>
                      <w:lang w:val="en-US" w:eastAsia="zh-CN"/>
                      <w14:textFill>
                        <w14:solidFill>
                          <w14:schemeClr w14:val="tx1"/>
                        </w14:solidFill>
                      </w14:textFill>
                    </w:rPr>
                    <w:t>主要解决处理</w:t>
                  </w:r>
                  <w:r>
                    <w:rPr>
                      <w:rFonts w:hint="eastAsia" w:ascii="Times New Roman" w:hAnsi="Times New Roman" w:cs="Times New Roman"/>
                      <w:color w:val="000000" w:themeColor="text1"/>
                      <w:sz w:val="21"/>
                      <w:szCs w:val="21"/>
                      <w:lang w:val="en-US" w:eastAsia="zh-CN"/>
                      <w14:textFill>
                        <w14:solidFill>
                          <w14:schemeClr w14:val="tx1"/>
                        </w14:solidFill>
                      </w14:textFill>
                    </w:rPr>
                    <w:t>狮头山隧道</w:t>
                  </w:r>
                  <w:r>
                    <w:rPr>
                      <w:rFonts w:hint="default" w:ascii="Times New Roman" w:hAnsi="Times New Roman" w:cs="Times New Roman"/>
                      <w:color w:val="000000" w:themeColor="text1"/>
                      <w:sz w:val="21"/>
                      <w:szCs w:val="21"/>
                      <w:lang w:val="en-US" w:eastAsia="zh-CN"/>
                      <w14:textFill>
                        <w14:solidFill>
                          <w14:schemeClr w14:val="tx1"/>
                        </w14:solidFill>
                      </w14:textFill>
                    </w:rPr>
                    <w:t>渣土，根据</w:t>
                  </w:r>
                  <w:r>
                    <w:rPr>
                      <w:rFonts w:hint="eastAsia" w:ascii="Times New Roman" w:hAnsi="Times New Roman" w:cs="Times New Roman"/>
                      <w:color w:val="000000" w:themeColor="text1"/>
                      <w:sz w:val="21"/>
                      <w:szCs w:val="21"/>
                      <w:lang w:val="en-US" w:eastAsia="zh-CN"/>
                      <w14:textFill>
                        <w14:solidFill>
                          <w14:schemeClr w14:val="tx1"/>
                        </w14:solidFill>
                      </w14:textFill>
                    </w:rPr>
                    <w:t>狮头山</w:t>
                  </w:r>
                  <w:r>
                    <w:rPr>
                      <w:rFonts w:hint="default" w:ascii="Times New Roman" w:hAnsi="Times New Roman" w:cs="Times New Roman"/>
                      <w:color w:val="000000" w:themeColor="text1"/>
                      <w:sz w:val="21"/>
                      <w:szCs w:val="21"/>
                      <w:lang w:val="en-US" w:eastAsia="zh-CN"/>
                      <w14:textFill>
                        <w14:solidFill>
                          <w14:schemeClr w14:val="tx1"/>
                        </w14:solidFill>
                      </w14:textFill>
                    </w:rPr>
                    <w:t>位置及隧道渣土运输路线，选择该位置作为砂石料加工点。项目为临时加工点，服务年限较短，项目已取得同意选址的意见（详见附件3）。</w:t>
                  </w:r>
                  <w:r>
                    <w:rPr>
                      <w:rFonts w:hint="default" w:ascii="Times New Roman" w:hAnsi="Times New Roman" w:cs="Times New Roman"/>
                      <w:color w:val="000000" w:themeColor="text1"/>
                      <w:sz w:val="21"/>
                      <w:szCs w:val="21"/>
                      <w14:textFill>
                        <w14:solidFill>
                          <w14:schemeClr w14:val="tx1"/>
                        </w14:solidFill>
                      </w14:textFill>
                    </w:rPr>
                    <w:t>项目不属于高污染项目。</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9</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项目不属于落后产能、依法依规淘汰的项目。</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10</w:t>
                  </w:r>
                </w:p>
              </w:tc>
              <w:tc>
                <w:tcPr>
                  <w:tcW w:w="3420"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2309"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项目不属于《云南省城镇人口密集区危险化学品生产企业搬迁改造名单》的搬迁改造企业。</w:t>
                  </w:r>
                </w:p>
              </w:tc>
              <w:tc>
                <w:tcPr>
                  <w:tcW w:w="794" w:type="dxa"/>
                  <w:vAlign w:val="center"/>
                </w:tcPr>
                <w:p>
                  <w:pPr>
                    <w:spacing w:line="240" w:lineRule="auto"/>
                    <w:ind w:firstLine="0" w:firstLineChars="0"/>
                    <w:jc w:val="center"/>
                    <w:rPr>
                      <w:rFonts w:hint="default" w:ascii="Times New Roman" w:hAnsi="Times New Roman" w:cs="Times New Roman"/>
                      <w:bCs/>
                      <w:color w:val="000000" w:themeColor="text1"/>
                      <w:kern w:val="28"/>
                      <w:sz w:val="21"/>
                      <w:szCs w:val="21"/>
                      <w14:textFill>
                        <w14:solidFill>
                          <w14:schemeClr w14:val="tx1"/>
                        </w14:solidFill>
                      </w14:textFill>
                    </w:rPr>
                  </w:pPr>
                  <w:r>
                    <w:rPr>
                      <w:rFonts w:hint="default" w:ascii="Times New Roman" w:hAnsi="Times New Roman" w:cs="Times New Roman"/>
                      <w:bCs/>
                      <w:color w:val="000000" w:themeColor="text1"/>
                      <w:kern w:val="28"/>
                      <w:sz w:val="2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2"/>
                <w:sz w:val="24"/>
                <w:szCs w:val="24"/>
              </w:rPr>
            </w:pPr>
            <w:r>
              <w:rPr>
                <w:rFonts w:hint="eastAsia"/>
                <w:color w:val="000000" w:themeColor="text1"/>
                <w:sz w:val="24"/>
                <w:szCs w:val="24"/>
                <w14:textFill>
                  <w14:solidFill>
                    <w14:schemeClr w14:val="tx1"/>
                  </w14:solidFill>
                </w14:textFill>
              </w:rPr>
              <w:t>根据上表分析可知，项目符合《云南省长江经济带发展负面清单指南实施细则（试行）》的</w:t>
            </w:r>
            <w:r>
              <w:rPr>
                <w:color w:val="000000" w:themeColor="text1"/>
                <w:sz w:val="24"/>
                <w:szCs w:val="24"/>
                <w14:textFill>
                  <w14:solidFill>
                    <w14:schemeClr w14:val="tx1"/>
                  </w14:solidFill>
                </w14:textFill>
              </w:rPr>
              <w:t>相关</w:t>
            </w:r>
            <w:r>
              <w:rPr>
                <w:rFonts w:hint="eastAsia"/>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与《</w:t>
            </w:r>
            <w:r>
              <w:rPr>
                <w:rFonts w:hint="default" w:ascii="Times New Roman" w:hAnsi="Times New Roman" w:eastAsia="宋体" w:cs="Times New Roman"/>
                <w:b/>
                <w:bCs/>
                <w:i w:val="0"/>
                <w:iCs w:val="0"/>
                <w:caps w:val="0"/>
                <w:color w:val="000000" w:themeColor="text1"/>
                <w:spacing w:val="0"/>
                <w:sz w:val="24"/>
                <w:szCs w:val="24"/>
                <w14:textFill>
                  <w14:solidFill>
                    <w14:schemeClr w14:val="tx1"/>
                  </w14:solidFill>
                </w14:textFill>
              </w:rPr>
              <w:t>云南省沘江流域水污染防治规划</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》符合性分析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vertAlign w:val="baseline"/>
                <w14:textFill>
                  <w14:solidFill>
                    <w14:schemeClr w14:val="tx1"/>
                  </w14:solidFill>
                </w14:textFill>
              </w:rPr>
              <w:t>沘江为澜沧江一级支流，20世纪80年代中期，沘江源头及上游两岸的采选和冶炼厂迅速发展，长期无序开采导致矿区地质结构和植被遭到严重破坏，致使沘江水质日益恶化，给沿岸人民群众的生产生活带来了影响。此次实施流域限批的范围包括沘江及其支流在内的流域范围，具体涉及怒江州兰坪县金顶镇和啦井镇，大理州云龙县白石镇、长新乡、检漕乡、诺邓镇和宝丰乡。云南省</w:t>
            </w:r>
            <w:r>
              <w:rPr>
                <w:rFonts w:hint="eastAsia" w:ascii="Times New Roman" w:hAnsi="Times New Roman" w:cs="Times New Roman"/>
                <w:b w:val="0"/>
                <w:bCs w:val="0"/>
                <w:i w:val="0"/>
                <w:iCs w:val="0"/>
                <w:caps w:val="0"/>
                <w:color w:val="000000" w:themeColor="text1"/>
                <w:spacing w:val="0"/>
                <w:sz w:val="24"/>
                <w:szCs w:val="24"/>
                <w:vertAlign w:val="baseline"/>
                <w:lang w:eastAsia="zh-CN"/>
                <w14:textFill>
                  <w14:solidFill>
                    <w14:schemeClr w14:val="tx1"/>
                  </w14:solidFill>
                </w14:textFill>
              </w:rPr>
              <w:t>生态环境厅</w:t>
            </w:r>
            <w:r>
              <w:rPr>
                <w:rFonts w:hint="default" w:ascii="Times New Roman" w:hAnsi="Times New Roman" w:eastAsia="宋体" w:cs="Times New Roman"/>
                <w:b w:val="0"/>
                <w:bCs w:val="0"/>
                <w:i w:val="0"/>
                <w:iCs w:val="0"/>
                <w:caps w:val="0"/>
                <w:color w:val="000000" w:themeColor="text1"/>
                <w:spacing w:val="0"/>
                <w:sz w:val="24"/>
                <w:szCs w:val="24"/>
                <w:vertAlign w:val="baseline"/>
                <w14:textFill>
                  <w14:solidFill>
                    <w14:schemeClr w14:val="tx1"/>
                  </w14:solidFill>
                </w14:textFill>
              </w:rPr>
              <w:t>规定，凡是直接或者间接向沘江及其支流排放含铅、锌等重金属以及其他有毒、有害污染物的建设项目，不论投资主体、资金来源和投资规模，云南各级环保部门将一律停止审批其环境影响评价文件。沘江流域内源、面源污染治理项目，现有合法企业污染减排项目，城镇生活污水、生活垃圾处理等环境基础设施建设项目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项目位于云南省大理白族自治州</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云龙县长新乡龙子潭小组</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，项目为砂石料加工项目，生产废水</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回用不外排</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，项目粉尘经</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喷淋、除尘</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+厂房阻隔后达标排放。本项目不涉及重金属污染物的排放，项目为临时工程，服务期限</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满后将拆除</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，不会对沘江造成影响</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4"/>
                <w:szCs w:val="24"/>
                <w14:textFill>
                  <w14:solidFill>
                    <w14:schemeClr w14:val="tx1"/>
                  </w14:solidFill>
                </w14:textFill>
              </w:rPr>
              <w:t>云南省沘江流域水污染防治规划</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、选址合理性分析</w:t>
            </w:r>
          </w:p>
          <w:p>
            <w:pPr>
              <w:spacing w:line="360" w:lineRule="auto"/>
              <w:ind w:firstLine="480" w:firstLineChars="200"/>
              <w:rPr>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项目为高速公路砂石料配套工程，</w:t>
            </w:r>
            <w:r>
              <w:rPr>
                <w:rFonts w:hint="default" w:ascii="Times New Roman" w:hAnsi="Times New Roman" w:cs="Times New Roman"/>
                <w:color w:val="000000" w:themeColor="text1"/>
                <w:sz w:val="24"/>
                <w:szCs w:val="24"/>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主要解决处理</w:t>
            </w:r>
            <w:r>
              <w:rPr>
                <w:rFonts w:hint="eastAsia" w:ascii="Times New Roman" w:hAnsi="Times New Roman" w:cs="Times New Roman"/>
                <w:color w:val="000000" w:themeColor="text1"/>
                <w:sz w:val="24"/>
                <w:szCs w:val="24"/>
                <w:lang w:val="en-US" w:eastAsia="zh-CN"/>
                <w14:textFill>
                  <w14:solidFill>
                    <w14:schemeClr w14:val="tx1"/>
                  </w14:solidFill>
                </w14:textFill>
              </w:rPr>
              <w:t>狮头山</w:t>
            </w:r>
            <w:r>
              <w:rPr>
                <w:rFonts w:hint="default" w:ascii="Times New Roman" w:hAnsi="Times New Roman" w:cs="Times New Roman"/>
                <w:color w:val="000000" w:themeColor="text1"/>
                <w:sz w:val="24"/>
                <w:szCs w:val="24"/>
                <w:lang w:val="en-US" w:eastAsia="zh-CN"/>
                <w14:textFill>
                  <w14:solidFill>
                    <w14:schemeClr w14:val="tx1"/>
                  </w14:solidFill>
                </w14:textFill>
              </w:rPr>
              <w:t>隧道渣土，</w:t>
            </w:r>
            <w:r>
              <w:rPr>
                <w:rFonts w:hint="eastAsia" w:ascii="Times New Roman" w:hAnsi="Times New Roman" w:cs="Times New Roman"/>
                <w:color w:val="000000" w:themeColor="text1"/>
                <w:sz w:val="24"/>
                <w:szCs w:val="24"/>
                <w:lang w:val="en-US" w:eastAsia="zh-CN"/>
                <w14:textFill>
                  <w14:solidFill>
                    <w14:schemeClr w14:val="tx1"/>
                  </w14:solidFill>
                </w14:textFill>
              </w:rPr>
              <w:t>解决固废问题，资源利用，</w:t>
            </w:r>
            <w:r>
              <w:rPr>
                <w:rFonts w:hint="default" w:ascii="Times New Roman" w:hAnsi="Times New Roman" w:cs="Times New Roman"/>
                <w:color w:val="000000" w:themeColor="text1"/>
                <w:sz w:val="24"/>
                <w:szCs w:val="24"/>
                <w:lang w:val="en-US" w:eastAsia="zh-CN"/>
                <w14:textFill>
                  <w14:solidFill>
                    <w14:schemeClr w14:val="tx1"/>
                  </w14:solidFill>
                </w14:textFill>
              </w:rPr>
              <w:t>根据</w:t>
            </w:r>
            <w:r>
              <w:rPr>
                <w:rFonts w:hint="eastAsia" w:ascii="Times New Roman" w:hAnsi="Times New Roman" w:cs="Times New Roman"/>
                <w:color w:val="000000" w:themeColor="text1"/>
                <w:sz w:val="24"/>
                <w:szCs w:val="24"/>
                <w:lang w:val="en-US" w:eastAsia="zh-CN"/>
                <w14:textFill>
                  <w14:solidFill>
                    <w14:schemeClr w14:val="tx1"/>
                  </w14:solidFill>
                </w14:textFill>
              </w:rPr>
              <w:t>狮头山</w:t>
            </w:r>
            <w:r>
              <w:rPr>
                <w:rFonts w:hint="default" w:ascii="Times New Roman" w:hAnsi="Times New Roman" w:cs="Times New Roman"/>
                <w:color w:val="000000" w:themeColor="text1"/>
                <w:sz w:val="24"/>
                <w:szCs w:val="24"/>
                <w:lang w:val="en-US" w:eastAsia="zh-CN"/>
                <w14:textFill>
                  <w14:solidFill>
                    <w14:schemeClr w14:val="tx1"/>
                  </w14:solidFill>
                </w14:textFill>
              </w:rPr>
              <w:t>位置及隧道渣土运输路线，选择该位置作为砂石料加工点。项目为临时加工点，服务年限较短，</w:t>
            </w:r>
            <w:r>
              <w:rPr>
                <w:rFonts w:hint="eastAsia" w:ascii="Times New Roman" w:hAnsi="Times New Roman" w:cs="Times New Roman"/>
                <w:color w:val="000000" w:themeColor="text1"/>
                <w:sz w:val="24"/>
                <w:szCs w:val="24"/>
                <w:lang w:val="en-US" w:eastAsia="zh-CN"/>
                <w14:textFill>
                  <w14:solidFill>
                    <w14:schemeClr w14:val="tx1"/>
                  </w14:solidFill>
                </w14:textFill>
              </w:rPr>
              <w:t>项目已取得同意选址的意见（详见附件3）</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所在地空气环境质量、地表水环境质量与声环境质量均良好，尚有一定的环境容量，该项目建设符合当地环境功能区划要求；项目生产过程中产生的污染物较少，废气、噪声经相应措施处理后可达标排放，固体废物可得到妥善处置。因此，在采取本评价提出的污染防治措施的前提下，项目在运营过程中污染物能够实现达标排放，项目的建设和营运不会对周边环境产生明显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14:textFill>
                  <w14:solidFill>
                    <w14:schemeClr w14:val="tx1"/>
                  </w14:solidFill>
                </w14:textFill>
              </w:rPr>
              <w:t>项目所在地供水、供电可满足需求，交通便利。综上所述，项目所在区域环境具有相容性，无重大外环境制约因素，从环境保护的角度而言，本项目的选址合理可行。</w:t>
            </w:r>
          </w:p>
          <w:p>
            <w:pPr>
              <w:pStyle w:val="13"/>
              <w:keepNext w:val="0"/>
              <w:keepLines w:val="0"/>
              <w:pageBreakBefore w:val="0"/>
              <w:widowControl w:val="0"/>
              <w:numPr>
                <w:ilvl w:val="0"/>
                <w:numId w:val="0"/>
              </w:numPr>
              <w:tabs>
                <w:tab w:val="left" w:pos="343"/>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、平面布局合理性分析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按照建设单位提供的资料，结合场地地形特点，本项目平面规划布局分区明确，整个平面布置分为</w:t>
            </w:r>
            <w:r>
              <w:rPr>
                <w:rFonts w:hint="eastAsia" w:ascii="Times New Roman" w:hAnsi="Times New Roman" w:cs="Times New Roman"/>
                <w:color w:val="000000" w:themeColor="text1"/>
                <w:sz w:val="24"/>
                <w:lang w:val="en-US" w:eastAsia="zh-CN"/>
                <w14:textFill>
                  <w14:solidFill>
                    <w14:schemeClr w14:val="tx1"/>
                  </w14:solidFill>
                </w14:textFill>
              </w:rPr>
              <w:t>生产区和生活区，生产区域共建设一个封闭厂房，厂房内从东向西布设</w:t>
            </w:r>
            <w:r>
              <w:rPr>
                <w:rFonts w:hint="default" w:ascii="Times New Roman" w:hAnsi="Times New Roman" w:cs="Times New Roman"/>
                <w:color w:val="000000" w:themeColor="text1"/>
                <w:sz w:val="24"/>
                <w14:textFill>
                  <w14:solidFill>
                    <w14:schemeClr w14:val="tx1"/>
                  </w14:solidFill>
                </w14:textFill>
              </w:rPr>
              <w:t>原料堆场</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加工区</w:t>
            </w:r>
            <w:r>
              <w:rPr>
                <w:rFonts w:hint="default" w:ascii="Times New Roman" w:hAnsi="Times New Roman" w:cs="Times New Roman"/>
                <w:color w:val="000000" w:themeColor="text1"/>
                <w:sz w:val="24"/>
                <w:lang w:val="en-US" w:eastAsia="zh-CN"/>
                <w14:textFill>
                  <w14:solidFill>
                    <w14:schemeClr w14:val="tx1"/>
                  </w14:solidFill>
                </w14:textFill>
              </w:rPr>
              <w:t>和成品区</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初期雨水收集池</w:t>
            </w:r>
            <w:r>
              <w:rPr>
                <w:rFonts w:hint="default" w:ascii="Times New Roman" w:hAnsi="Times New Roman" w:cs="Times New Roman"/>
                <w:color w:val="000000" w:themeColor="text1"/>
                <w:sz w:val="24"/>
                <w14:textFill>
                  <w14:solidFill>
                    <w14:schemeClr w14:val="tx1"/>
                  </w14:solidFill>
                </w14:textFill>
              </w:rPr>
              <w:t>位于厂区</w:t>
            </w:r>
            <w:r>
              <w:rPr>
                <w:rFonts w:hint="eastAsia" w:ascii="Times New Roman" w:hAnsi="Times New Roman" w:cs="Times New Roman"/>
                <w:color w:val="000000" w:themeColor="text1"/>
                <w:sz w:val="24"/>
                <w:lang w:val="en-US" w:eastAsia="zh-CN"/>
                <w14:textFill>
                  <w14:solidFill>
                    <w14:schemeClr w14:val="tx1"/>
                  </w14:solidFill>
                </w14:textFill>
              </w:rPr>
              <w:t>南</w:t>
            </w:r>
            <w:r>
              <w:rPr>
                <w:rFonts w:hint="default" w:ascii="Times New Roman" w:hAnsi="Times New Roman" w:cs="Times New Roman"/>
                <w:color w:val="000000" w:themeColor="text1"/>
                <w:sz w:val="24"/>
                <w14:textFill>
                  <w14:solidFill>
                    <w14:schemeClr w14:val="tx1"/>
                  </w14:solidFill>
                </w14:textFill>
              </w:rPr>
              <w:t>侧最低处，可以满足雨水重力流向要求。生产区与办公区分开布置</w:t>
            </w:r>
            <w:r>
              <w:rPr>
                <w:rFonts w:hint="eastAsia" w:ascii="Times New Roman" w:hAnsi="Times New Roman" w:cs="Times New Roman"/>
                <w:color w:val="000000" w:themeColor="text1"/>
                <w:sz w:val="24"/>
                <w:lang w:eastAsia="zh-CN"/>
                <w14:textFill>
                  <w14:solidFill>
                    <w14:schemeClr w14:val="tx1"/>
                  </w14:solidFill>
                </w14:textFill>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从整体布局来看，项目平面布置基本合理。</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bl>
    <w:p>
      <w:pPr>
        <w:rPr>
          <w:rFonts w:hint="eastAsia" w:ascii="Times New Roman" w:hAnsi="Times New Roman" w:eastAsia="黑体" w:cs="Times New Roman"/>
          <w:color w:val="auto"/>
          <w:szCs w:val="21"/>
        </w:rPr>
      </w:pPr>
      <w:bookmarkStart w:id="6" w:name="_Toc81399063"/>
    </w:p>
    <w:p>
      <w:pPr>
        <w:rPr>
          <w:rFonts w:hint="eastAsia" w:ascii="Times New Roman" w:hAnsi="Times New Roman" w:eastAsia="黑体" w:cs="Times New Roman"/>
          <w:b w:val="0"/>
          <w:color w:val="auto"/>
          <w:sz w:val="30"/>
          <w:szCs w:val="30"/>
        </w:rPr>
      </w:pPr>
      <w:r>
        <w:rPr>
          <w:rFonts w:hint="eastAsia" w:ascii="Times New Roman" w:hAnsi="Times New Roman" w:eastAsia="黑体" w:cs="Times New Roman"/>
          <w:b w:val="0"/>
          <w:color w:val="auto"/>
          <w:sz w:val="30"/>
          <w:szCs w:val="30"/>
        </w:rPr>
        <w:br w:type="page"/>
      </w:r>
    </w:p>
    <w:p>
      <w:pPr>
        <w:pStyle w:val="2"/>
        <w:spacing w:before="62" w:beforeLines="20" w:after="31" w:afterLines="10" w:line="360" w:lineRule="auto"/>
        <w:jc w:val="center"/>
        <w:rPr>
          <w:rFonts w:hint="eastAsia" w:ascii="Times New Roman" w:hAnsi="Times New Roman" w:eastAsia="黑体" w:cs="Times New Roman"/>
          <w:color w:val="auto"/>
          <w:szCs w:val="21"/>
        </w:rPr>
      </w:pPr>
      <w:r>
        <w:rPr>
          <w:rFonts w:hint="eastAsia" w:ascii="Times New Roman" w:hAnsi="Times New Roman" w:eastAsia="黑体" w:cs="Times New Roman"/>
          <w:b w:val="0"/>
          <w:color w:val="auto"/>
          <w:sz w:val="30"/>
          <w:szCs w:val="30"/>
        </w:rPr>
        <w:t>二、</w:t>
      </w:r>
      <w:r>
        <w:rPr>
          <w:rFonts w:ascii="Times New Roman" w:hAnsi="Times New Roman" w:eastAsia="黑体" w:cs="Times New Roman"/>
          <w:b w:val="0"/>
          <w:color w:val="auto"/>
          <w:sz w:val="30"/>
          <w:szCs w:val="30"/>
        </w:rPr>
        <w:t>建设项目工程分析</w:t>
      </w:r>
    </w:p>
    <w:tbl>
      <w:tblPr>
        <w:tblStyle w:val="26"/>
        <w:tblpPr w:leftFromText="181" w:rightFromText="181" w:vertAnchor="text" w:horzAnchor="page" w:tblpXSpec="center" w:tblpY="1"/>
        <w:tblOverlap w:val="never"/>
        <w:tblW w:w="92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456" w:type="dxa"/>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建设内容</w:t>
            </w:r>
          </w:p>
        </w:tc>
        <w:tc>
          <w:tcPr>
            <w:tcW w:w="8828"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Cs/>
                <w:color w:val="auto"/>
                <w:kern w:val="21"/>
                <w:sz w:val="24"/>
                <w:szCs w:val="24"/>
              </w:rPr>
            </w:pPr>
            <w:r>
              <w:rPr>
                <w:rFonts w:hint="eastAsia" w:ascii="Times New Roman" w:hAnsi="Times New Roman" w:eastAsia="宋体" w:cs="Times New Roman"/>
                <w:b/>
                <w:bCs/>
                <w:color w:val="auto"/>
                <w:kern w:val="21"/>
                <w:sz w:val="24"/>
                <w:szCs w:val="24"/>
                <w:lang w:val="en-US" w:eastAsia="zh-CN"/>
              </w:rPr>
              <w:t>1</w:t>
            </w:r>
            <w:r>
              <w:rPr>
                <w:rFonts w:hint="default" w:ascii="Times New Roman" w:hAnsi="Times New Roman" w:eastAsia="宋体" w:cs="Times New Roman"/>
                <w:b/>
                <w:bCs/>
                <w:color w:val="auto"/>
                <w:kern w:val="21"/>
                <w:sz w:val="24"/>
                <w:szCs w:val="24"/>
              </w:rPr>
              <w:t>、建设项目概况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bCs/>
                <w:color w:val="auto"/>
                <w:kern w:val="21"/>
                <w:sz w:val="24"/>
                <w:szCs w:val="24"/>
                <w:highlight w:val="none"/>
              </w:rPr>
              <w:t>（1）项目名称：</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1</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万吨砂石料加工点项目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szCs w:val="24"/>
                <w:highlight w:val="none"/>
                <w14:textFill>
                  <w14:solidFill>
                    <w14:schemeClr w14:val="tx1"/>
                  </w14:solidFill>
                </w14:textFill>
              </w:rPr>
              <w:t>（2）建设单位：</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禄劝老五建筑劳务分包有限公司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1"/>
                <w:sz w:val="24"/>
                <w:szCs w:val="24"/>
                <w:highlight w:val="none"/>
              </w:rPr>
            </w:pPr>
            <w:r>
              <w:rPr>
                <w:rFonts w:hint="default" w:ascii="Times New Roman" w:hAnsi="Times New Roman" w:eastAsia="宋体" w:cs="Times New Roman"/>
                <w:color w:val="auto"/>
                <w:kern w:val="21"/>
                <w:sz w:val="24"/>
                <w:szCs w:val="24"/>
                <w:highlight w:val="none"/>
              </w:rPr>
              <w:t>（3）建设性质：新建</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kern w:val="21"/>
                <w:sz w:val="24"/>
                <w:szCs w:val="24"/>
                <w:highlight w:val="none"/>
                <w14:textFill>
                  <w14:solidFill>
                    <w14:schemeClr w14:val="tx1"/>
                  </w14:solidFill>
                </w14:textFill>
              </w:rPr>
            </w:pPr>
            <w:r>
              <w:rPr>
                <w:rFonts w:hint="default" w:ascii="Times New Roman" w:hAnsi="Times New Roman" w:eastAsia="宋体" w:cs="Times New Roman"/>
                <w:color w:val="auto"/>
                <w:kern w:val="21"/>
                <w:sz w:val="24"/>
                <w:szCs w:val="24"/>
              </w:rPr>
              <w:t>（4）总投资：</w:t>
            </w:r>
            <w:r>
              <w:rPr>
                <w:rFonts w:hint="default"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100万元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1"/>
                <w:sz w:val="24"/>
                <w:szCs w:val="24"/>
                <w:highlight w:val="none"/>
                <w:lang w:val="en-US" w:eastAsia="zh-CN"/>
              </w:rPr>
            </w:pPr>
            <w:r>
              <w:rPr>
                <w:rFonts w:hint="default" w:ascii="Times New Roman" w:hAnsi="Times New Roman" w:eastAsia="宋体" w:cs="Times New Roman"/>
                <w:color w:val="auto"/>
                <w:kern w:val="21"/>
                <w:sz w:val="24"/>
                <w:szCs w:val="24"/>
                <w:highlight w:val="none"/>
              </w:rPr>
              <w:t>（5）建设地点：</w:t>
            </w:r>
            <w:r>
              <w:rPr>
                <w:rFonts w:hint="eastAsia" w:ascii="Times New Roman" w:hAnsi="Times New Roman" w:eastAsia="宋体" w:cs="Times New Roman"/>
                <w:color w:val="000000"/>
                <w:kern w:val="0"/>
                <w:sz w:val="24"/>
                <w:szCs w:val="24"/>
                <w:lang w:val="en-US" w:eastAsia="zh-CN" w:bidi="ar"/>
              </w:rPr>
              <w:t>云龙县长新乡龙子潭小组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1"/>
                <w:sz w:val="24"/>
                <w:szCs w:val="24"/>
                <w:lang w:val="en-US" w:eastAsia="zh-CN"/>
              </w:rPr>
            </w:pPr>
            <w:r>
              <w:rPr>
                <w:rFonts w:hint="default" w:ascii="Times New Roman" w:hAnsi="Times New Roman" w:eastAsia="宋体" w:cs="Times New Roman"/>
                <w:color w:val="auto"/>
                <w:kern w:val="21"/>
                <w:sz w:val="24"/>
                <w:szCs w:val="24"/>
                <w:highlight w:val="none"/>
              </w:rPr>
              <w:t>（6）建设</w:t>
            </w:r>
            <w:r>
              <w:rPr>
                <w:rFonts w:hint="default" w:ascii="Times New Roman" w:hAnsi="Times New Roman" w:eastAsia="宋体" w:cs="Times New Roman"/>
                <w:color w:val="auto"/>
                <w:kern w:val="21"/>
                <w:sz w:val="24"/>
                <w:szCs w:val="24"/>
                <w:highlight w:val="none"/>
                <w:lang w:val="en-US" w:eastAsia="zh-CN"/>
              </w:rPr>
              <w:t>内容及</w:t>
            </w:r>
            <w:r>
              <w:rPr>
                <w:rFonts w:hint="default" w:ascii="Times New Roman" w:hAnsi="Times New Roman" w:eastAsia="宋体" w:cs="Times New Roman"/>
                <w:color w:val="auto"/>
                <w:kern w:val="21"/>
                <w:sz w:val="24"/>
                <w:szCs w:val="24"/>
                <w:highlight w:val="none"/>
              </w:rPr>
              <w:t>规模：</w:t>
            </w:r>
            <w:r>
              <w:rPr>
                <w:rFonts w:hint="default" w:ascii="Times New Roman" w:hAnsi="Times New Roman" w:eastAsia="宋体" w:cs="Times New Roman"/>
                <w:color w:val="000000"/>
                <w:kern w:val="0"/>
                <w:sz w:val="24"/>
                <w:szCs w:val="24"/>
                <w:lang w:val="en-US" w:eastAsia="zh-CN" w:bidi="ar"/>
              </w:rPr>
              <w:t>该项目位于</w:t>
            </w:r>
            <w:r>
              <w:rPr>
                <w:rFonts w:hint="eastAsia" w:ascii="Times New Roman" w:hAnsi="Times New Roman" w:eastAsia="宋体" w:cs="Times New Roman"/>
                <w:color w:val="000000"/>
                <w:kern w:val="0"/>
                <w:sz w:val="24"/>
                <w:szCs w:val="24"/>
                <w:lang w:val="en-US" w:eastAsia="zh-CN" w:bidi="ar"/>
              </w:rPr>
              <w:t>云龙县长新乡龙子潭小组</w:t>
            </w:r>
            <w:r>
              <w:rPr>
                <w:rFonts w:hint="default" w:ascii="Times New Roman" w:hAnsi="Times New Roman" w:eastAsia="宋体" w:cs="Times New Roman"/>
                <w:color w:val="000000"/>
                <w:kern w:val="0"/>
                <w:sz w:val="24"/>
                <w:szCs w:val="24"/>
                <w:lang w:val="en-US" w:eastAsia="zh-CN" w:bidi="ar"/>
              </w:rPr>
              <w:t>，占地面积为</w:t>
            </w:r>
            <w:r>
              <w:rPr>
                <w:rFonts w:hint="eastAsia" w:ascii="Times New Roman" w:hAnsi="Times New Roman" w:eastAsia="宋体" w:cs="Times New Roman"/>
                <w:color w:val="000000"/>
                <w:kern w:val="0"/>
                <w:sz w:val="24"/>
                <w:szCs w:val="24"/>
                <w:lang w:val="en-US" w:eastAsia="zh-CN" w:bidi="ar"/>
              </w:rPr>
              <w:t>4535.7</w:t>
            </w:r>
            <w:r>
              <w:rPr>
                <w:rFonts w:hint="default" w:ascii="Times New Roman" w:hAnsi="Times New Roman" w:eastAsia="宋体" w:cs="Times New Roman"/>
                <w:color w:val="000000"/>
                <w:kern w:val="0"/>
                <w:sz w:val="24"/>
                <w:szCs w:val="24"/>
                <w:lang w:val="en-US" w:eastAsia="zh-CN" w:bidi="ar"/>
              </w:rPr>
              <w:t>平方米，</w:t>
            </w:r>
            <w:r>
              <w:rPr>
                <w:rFonts w:hint="eastAsia" w:ascii="Times New Roman" w:hAnsi="Times New Roman" w:eastAsia="宋体" w:cs="Times New Roman"/>
                <w:color w:val="000000"/>
                <w:kern w:val="0"/>
                <w:sz w:val="24"/>
                <w:szCs w:val="24"/>
                <w:lang w:val="en-US" w:eastAsia="zh-CN" w:bidi="ar"/>
              </w:rPr>
              <w:t>用于建设云龙至永平高速公路项目配套砂石加工点。</w:t>
            </w:r>
          </w:p>
          <w:p>
            <w:pPr>
              <w:keepNext w:val="0"/>
              <w:keepLines w:val="0"/>
              <w:pageBreakBefore w:val="0"/>
              <w:kinsoku/>
              <w:wordWrap/>
              <w:overflowPunct/>
              <w:topLinePunct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1"/>
                <w:sz w:val="24"/>
                <w:szCs w:val="24"/>
              </w:rPr>
            </w:pPr>
            <w:r>
              <w:rPr>
                <w:rFonts w:hint="eastAsia" w:ascii="Times New Roman" w:hAnsi="Times New Roman" w:eastAsia="宋体" w:cs="Times New Roman"/>
                <w:b/>
                <w:bCs/>
                <w:color w:val="auto"/>
                <w:kern w:val="21"/>
                <w:sz w:val="24"/>
                <w:szCs w:val="24"/>
                <w:lang w:val="en-US" w:eastAsia="zh-CN"/>
              </w:rPr>
              <w:t>2</w:t>
            </w:r>
            <w:r>
              <w:rPr>
                <w:rFonts w:hint="default" w:ascii="Times New Roman" w:hAnsi="Times New Roman" w:eastAsia="宋体" w:cs="Times New Roman"/>
                <w:b/>
                <w:bCs/>
                <w:color w:val="auto"/>
                <w:kern w:val="21"/>
                <w:sz w:val="24"/>
                <w:szCs w:val="24"/>
              </w:rPr>
              <w:t>、工程内容及规模</w:t>
            </w:r>
          </w:p>
          <w:p>
            <w:pPr>
              <w:pStyle w:val="11"/>
              <w:keepNext w:val="0"/>
              <w:keepLines w:val="0"/>
              <w:pageBreakBefore w:val="0"/>
              <w:kinsoku/>
              <w:wordWrap/>
              <w:overflowPunct/>
              <w:topLinePunct w:val="0"/>
              <w:bidi w:val="0"/>
              <w:adjustRightInd/>
              <w:snapToGrid/>
              <w:spacing w:after="0"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kern w:val="21"/>
                <w:sz w:val="24"/>
                <w:szCs w:val="24"/>
                <w:lang w:val="en-US" w:eastAsia="zh-CN"/>
              </w:rPr>
              <w:t>主要搭建一个</w:t>
            </w:r>
            <w:r>
              <w:rPr>
                <w:rFonts w:hint="eastAsia" w:ascii="Times New Roman" w:hAnsi="Times New Roman" w:eastAsia="宋体" w:cs="Times New Roman"/>
                <w:color w:val="auto"/>
                <w:sz w:val="24"/>
                <w:szCs w:val="24"/>
                <w:highlight w:val="none"/>
                <w:lang w:val="en-US" w:eastAsia="zh-CN"/>
              </w:rPr>
              <w:t>除进出口外</w:t>
            </w:r>
            <w:r>
              <w:rPr>
                <w:rFonts w:hint="default" w:ascii="Times New Roman" w:hAnsi="Times New Roman" w:eastAsia="宋体" w:cs="Times New Roman"/>
                <w:color w:val="auto"/>
                <w:kern w:val="21"/>
                <w:sz w:val="24"/>
                <w:szCs w:val="24"/>
                <w:lang w:val="en-US" w:eastAsia="zh-CN"/>
              </w:rPr>
              <w:t>封闭加顶棚</w:t>
            </w:r>
            <w:r>
              <w:rPr>
                <w:rFonts w:hint="eastAsia" w:ascii="Times New Roman" w:hAnsi="Times New Roman" w:eastAsia="宋体" w:cs="Times New Roman"/>
                <w:color w:val="auto"/>
                <w:kern w:val="21"/>
                <w:sz w:val="24"/>
                <w:szCs w:val="24"/>
                <w:lang w:val="en-US" w:eastAsia="zh-CN"/>
              </w:rPr>
              <w:t>的车间，布设原料区、生产区、成品区，</w:t>
            </w:r>
            <w:r>
              <w:rPr>
                <w:rFonts w:hint="default" w:ascii="Times New Roman" w:hAnsi="Times New Roman" w:eastAsia="宋体" w:cs="Times New Roman"/>
                <w:color w:val="auto"/>
                <w:kern w:val="21"/>
                <w:sz w:val="24"/>
                <w:szCs w:val="24"/>
                <w:lang w:val="en-US" w:eastAsia="zh-CN"/>
              </w:rPr>
              <w:t>建设生产线</w:t>
            </w:r>
            <w:r>
              <w:rPr>
                <w:rFonts w:hint="eastAsia" w:ascii="Times New Roman" w:hAnsi="Times New Roman" w:eastAsia="宋体" w:cs="Times New Roman"/>
                <w:color w:val="auto"/>
                <w:kern w:val="21"/>
                <w:sz w:val="24"/>
                <w:szCs w:val="24"/>
                <w:lang w:val="en-US" w:eastAsia="zh-CN"/>
              </w:rPr>
              <w:t>一</w:t>
            </w:r>
            <w:r>
              <w:rPr>
                <w:rFonts w:hint="default" w:ascii="Times New Roman" w:hAnsi="Times New Roman" w:eastAsia="宋体" w:cs="Times New Roman"/>
                <w:color w:val="auto"/>
                <w:kern w:val="21"/>
                <w:sz w:val="24"/>
                <w:szCs w:val="24"/>
                <w:lang w:val="en-US" w:eastAsia="zh-CN"/>
              </w:rPr>
              <w:t>条</w:t>
            </w:r>
            <w:r>
              <w:rPr>
                <w:rFonts w:hint="eastAsia" w:ascii="Times New Roman" w:hAnsi="Times New Roman" w:eastAsia="宋体" w:cs="Times New Roman"/>
                <w:color w:val="auto"/>
                <w:kern w:val="21"/>
                <w:sz w:val="24"/>
                <w:szCs w:val="24"/>
                <w:lang w:val="en-US" w:eastAsia="zh-CN"/>
              </w:rPr>
              <w:t>，</w:t>
            </w:r>
            <w:r>
              <w:rPr>
                <w:rFonts w:hint="default" w:ascii="Times New Roman" w:hAnsi="Times New Roman" w:eastAsia="宋体" w:cs="Times New Roman"/>
                <w:color w:val="auto"/>
                <w:sz w:val="24"/>
                <w:szCs w:val="24"/>
                <w:lang w:val="en-US" w:eastAsia="zh-CN"/>
              </w:rPr>
              <w:t>建成后</w:t>
            </w:r>
            <w:r>
              <w:rPr>
                <w:rFonts w:hint="default" w:ascii="Times New Roman" w:hAnsi="Times New Roman" w:eastAsia="宋体" w:cs="Times New Roman"/>
                <w:color w:val="auto"/>
                <w:kern w:val="21"/>
                <w:sz w:val="24"/>
                <w:szCs w:val="24"/>
                <w:lang w:val="en-US" w:eastAsia="zh-CN"/>
              </w:rPr>
              <w:t>年产</w:t>
            </w:r>
            <w:r>
              <w:rPr>
                <w:rFonts w:hint="eastAsia" w:ascii="Times New Roman" w:hAnsi="Times New Roman" w:eastAsia="宋体" w:cs="Times New Roman"/>
                <w:color w:val="auto"/>
                <w:kern w:val="21"/>
                <w:sz w:val="24"/>
                <w:szCs w:val="24"/>
                <w:lang w:val="en-US" w:eastAsia="zh-CN"/>
              </w:rPr>
              <w:t>10</w:t>
            </w:r>
            <w:r>
              <w:rPr>
                <w:rFonts w:hint="default" w:ascii="Times New Roman" w:hAnsi="Times New Roman" w:eastAsia="宋体" w:cs="Times New Roman"/>
                <w:color w:val="auto"/>
                <w:kern w:val="21"/>
                <w:sz w:val="24"/>
                <w:szCs w:val="24"/>
                <w:lang w:val="en-US" w:eastAsia="zh-CN"/>
              </w:rPr>
              <w:t>万吨砂石料</w:t>
            </w:r>
            <w:r>
              <w:rPr>
                <w:rFonts w:hint="eastAsia" w:ascii="Times New Roman" w:hAnsi="Times New Roman" w:eastAsia="宋体" w:cs="Times New Roman"/>
                <w:color w:val="auto"/>
                <w:kern w:val="21"/>
                <w:sz w:val="24"/>
                <w:szCs w:val="24"/>
                <w:lang w:val="en-US" w:eastAsia="zh-CN"/>
              </w:rPr>
              <w:t>。</w:t>
            </w:r>
            <w:r>
              <w:rPr>
                <w:rFonts w:hint="default" w:ascii="Times New Roman" w:hAnsi="Times New Roman" w:eastAsia="宋体" w:cs="Times New Roman"/>
                <w:color w:val="auto"/>
                <w:kern w:val="21"/>
                <w:sz w:val="24"/>
                <w:szCs w:val="24"/>
                <w:lang w:val="en-US" w:eastAsia="zh-CN"/>
              </w:rPr>
              <w:t>项目组成主要</w:t>
            </w:r>
            <w:r>
              <w:rPr>
                <w:rFonts w:hint="default" w:ascii="Times New Roman" w:hAnsi="Times New Roman" w:eastAsia="宋体" w:cs="Times New Roman"/>
                <w:color w:val="auto"/>
                <w:sz w:val="24"/>
                <w:szCs w:val="24"/>
              </w:rPr>
              <w:t>由主体工程、辅助工程、储运工程、公用工程、环保工程组成。项目建设内容组成见表2-</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主要建设内容一览表</w:t>
            </w:r>
          </w:p>
          <w:tbl>
            <w:tblPr>
              <w:tblStyle w:val="27"/>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26"/>
              <w:gridCol w:w="1312"/>
              <w:gridCol w:w="503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699"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工程名称</w:t>
                  </w:r>
                </w:p>
              </w:tc>
              <w:tc>
                <w:tcPr>
                  <w:tcW w:w="6775" w:type="dxa"/>
                  <w:gridSpan w:val="3"/>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建设内容及规模</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主体工程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生产区</w:t>
                  </w:r>
                </w:p>
              </w:tc>
              <w:tc>
                <w:tcPr>
                  <w:tcW w:w="5037"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根据生产动线布设生产区，便于输送，项目生产加工过程均在厂房内完成。项目区生产车间</w:t>
                  </w:r>
                  <w:r>
                    <w:rPr>
                      <w:rFonts w:hint="default" w:ascii="Times New Roman" w:hAnsi="Times New Roman" w:eastAsia="宋体" w:cs="Times New Roman"/>
                      <w:color w:val="auto"/>
                      <w:sz w:val="21"/>
                      <w:szCs w:val="21"/>
                      <w:highlight w:val="none"/>
                      <w:lang w:val="en-US" w:eastAsia="zh-CN"/>
                    </w:rPr>
                    <w:t>占地面积</w:t>
                  </w:r>
                  <w:r>
                    <w:rPr>
                      <w:rFonts w:hint="default" w:ascii="Times New Roman" w:hAnsi="Times New Roman" w:eastAsia="宋体" w:cs="Times New Roman"/>
                      <w:color w:val="auto"/>
                      <w:sz w:val="21"/>
                      <w:szCs w:val="21"/>
                      <w:highlight w:val="none"/>
                      <w:u w:val="none"/>
                      <w:lang w:val="en-US" w:eastAsia="zh-CN"/>
                    </w:rPr>
                    <w:t>625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，为1层彩钢瓦厂房，设置1条砂石料生产线，车间内设置破碎机，制砂机、振动筛。</w:t>
                  </w:r>
                </w:p>
              </w:tc>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新建，位于同一个</w:t>
                  </w:r>
                  <w:r>
                    <w:rPr>
                      <w:rFonts w:hint="eastAsia" w:ascii="Times New Roman" w:hAnsi="Times New Roman" w:eastAsia="宋体" w:cs="Times New Roman"/>
                      <w:color w:val="auto"/>
                      <w:sz w:val="21"/>
                      <w:szCs w:val="21"/>
                      <w:highlight w:val="none"/>
                      <w:lang w:val="en-US" w:eastAsia="zh-CN"/>
                    </w:rPr>
                    <w:t>除进出口外</w:t>
                  </w:r>
                  <w:r>
                    <w:rPr>
                      <w:rFonts w:hint="default" w:ascii="Times New Roman" w:hAnsi="Times New Roman" w:eastAsia="宋体" w:cs="Times New Roman"/>
                      <w:color w:val="auto"/>
                      <w:kern w:val="21"/>
                      <w:sz w:val="21"/>
                      <w:szCs w:val="21"/>
                      <w:lang w:val="en-US" w:eastAsia="zh-CN"/>
                    </w:rPr>
                    <w:t>封闭加顶棚的</w:t>
                  </w:r>
                  <w:r>
                    <w:rPr>
                      <w:rFonts w:hint="default" w:ascii="Times New Roman" w:hAnsi="Times New Roman" w:eastAsia="宋体" w:cs="Times New Roman"/>
                      <w:color w:val="auto"/>
                      <w:sz w:val="21"/>
                      <w:szCs w:val="21"/>
                      <w:highlight w:val="none"/>
                      <w:lang w:val="en-US" w:eastAsia="zh-CN"/>
                    </w:rPr>
                    <w:t>车间</w:t>
                  </w:r>
                  <w:r>
                    <w:rPr>
                      <w:rFonts w:hint="eastAsia" w:ascii="Times New Roman" w:hAnsi="Times New Roman" w:eastAsia="宋体" w:cs="Times New Roman"/>
                      <w:color w:val="auto"/>
                      <w:sz w:val="21"/>
                      <w:szCs w:val="21"/>
                      <w:highlight w:val="none"/>
                      <w:lang w:val="en-US" w:eastAsia="zh-CN"/>
                    </w:rPr>
                    <w:t>，成品区设置四个门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储运工程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原料堆场</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位于生产区内</w:t>
                  </w:r>
                  <w:r>
                    <w:rPr>
                      <w:rFonts w:hint="eastAsia" w:ascii="Times New Roman" w:hAnsi="Times New Roman" w:eastAsia="宋体"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侧，占地面积：</w:t>
                  </w:r>
                  <w:r>
                    <w:rPr>
                      <w:rFonts w:hint="default" w:ascii="Times New Roman" w:hAnsi="Times New Roman" w:eastAsia="宋体" w:cs="Times New Roman"/>
                      <w:color w:val="auto"/>
                      <w:sz w:val="21"/>
                      <w:szCs w:val="21"/>
                      <w:highlight w:val="none"/>
                      <w:u w:val="none"/>
                      <w:lang w:val="en-US" w:eastAsia="zh-CN"/>
                    </w:rPr>
                    <w:t>625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，最大堆存量6000m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bidi="zh-CN"/>
                    </w:rPr>
                    <w:t>用于存放原料</w:t>
                  </w:r>
                  <w:r>
                    <w:rPr>
                      <w:rFonts w:hint="default" w:ascii="Times New Roman" w:hAnsi="Times New Roman" w:eastAsia="宋体" w:cs="Times New Roman"/>
                      <w:color w:val="auto"/>
                      <w:sz w:val="21"/>
                      <w:szCs w:val="21"/>
                      <w:highlight w:val="none"/>
                      <w:lang w:val="en-US" w:eastAsia="zh-CN"/>
                    </w:rPr>
                    <w:t>。</w:t>
                  </w: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成品堆场</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位于生产区内</w:t>
                  </w:r>
                  <w:r>
                    <w:rPr>
                      <w:rFonts w:hint="eastAsia" w:ascii="Times New Roman" w:hAnsi="Times New Roman" w:eastAsia="宋体"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侧，占地面积：</w:t>
                  </w:r>
                  <w:r>
                    <w:rPr>
                      <w:rFonts w:hint="default" w:ascii="Times New Roman" w:hAnsi="Times New Roman" w:eastAsia="宋体" w:cs="Times New Roman"/>
                      <w:color w:val="auto"/>
                      <w:sz w:val="21"/>
                      <w:szCs w:val="21"/>
                      <w:highlight w:val="none"/>
                      <w:u w:val="none"/>
                      <w:lang w:val="en-US" w:eastAsia="zh-CN"/>
                    </w:rPr>
                    <w:t>625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，最大堆存量6000m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bidi="zh-CN"/>
                    </w:rPr>
                    <w:t>用于存放成品</w:t>
                  </w:r>
                  <w:r>
                    <w:rPr>
                      <w:rFonts w:hint="eastAsia" w:ascii="Times New Roman" w:hAnsi="Times New Roman" w:eastAsia="宋体" w:cs="Times New Roman"/>
                      <w:color w:val="auto"/>
                      <w:sz w:val="21"/>
                      <w:szCs w:val="21"/>
                      <w:highlight w:val="none"/>
                      <w:lang w:val="en-US" w:eastAsia="zh-CN" w:bidi="zh-CN"/>
                    </w:rPr>
                    <w:t>，成品区设置四个出口，便于成品运输</w:t>
                  </w:r>
                  <w:r>
                    <w:rPr>
                      <w:rFonts w:hint="default" w:ascii="Times New Roman" w:hAnsi="Times New Roman" w:eastAsia="宋体" w:cs="Times New Roman"/>
                      <w:color w:val="auto"/>
                      <w:sz w:val="21"/>
                      <w:szCs w:val="21"/>
                      <w:highlight w:val="none"/>
                      <w:vertAlign w:val="baseline"/>
                      <w:lang w:val="en-US" w:eastAsia="zh-CN"/>
                    </w:rPr>
                    <w:t>。</w:t>
                  </w: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运输道路</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210" w:firstLineChars="1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1"/>
                      <w:sz w:val="21"/>
                      <w:szCs w:val="21"/>
                      <w:highlight w:val="none"/>
                      <w:lang w:val="en-US" w:eastAsia="zh-CN"/>
                    </w:rPr>
                    <w:t>泥结碎石碾压整平，距离50m</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办公生活区</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占地面积：296.47m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vertAlign w:val="baseline"/>
                      <w:lang w:val="en-US" w:eastAsia="zh-CN"/>
                    </w:rPr>
                    <w:t>层彩钢瓦结构。</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位于生活区内，设置一间厨房</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旱厕</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容积3m</w:t>
                  </w:r>
                  <w:r>
                    <w:rPr>
                      <w:rFonts w:hint="eastAsia" w:ascii="Times New Roman" w:hAnsi="Times New Roman" w:eastAsia="宋体" w:cs="Times New Roman"/>
                      <w:color w:val="auto"/>
                      <w:sz w:val="21"/>
                      <w:szCs w:val="21"/>
                      <w:highlight w:val="none"/>
                      <w:vertAlign w:val="superscript"/>
                      <w:lang w:val="en-US" w:eastAsia="zh-CN"/>
                    </w:rPr>
                    <w:t>3</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公用工程</w:t>
                  </w: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供水</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项目生产以及生活用水由龙子潭村供水管网供给。</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50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eastAsia="zh-CN"/>
                    </w:rPr>
                    <w:t>由</w:t>
                  </w:r>
                  <w:r>
                    <w:rPr>
                      <w:rFonts w:hint="eastAsia" w:ascii="Times New Roman" w:hAnsi="Times New Roman" w:cs="Times New Roman"/>
                      <w:color w:val="auto"/>
                      <w:sz w:val="21"/>
                      <w:szCs w:val="21"/>
                      <w:lang w:eastAsia="zh-CN"/>
                    </w:rPr>
                    <w:t>狮头山</w:t>
                  </w:r>
                  <w:r>
                    <w:rPr>
                      <w:rFonts w:hint="default" w:ascii="Times New Roman" w:hAnsi="Times New Roman" w:cs="Times New Roman"/>
                      <w:color w:val="auto"/>
                      <w:sz w:val="21"/>
                      <w:szCs w:val="21"/>
                      <w:lang w:val="en-US" w:eastAsia="zh-CN"/>
                    </w:rPr>
                    <w:t>2#大桥1000</w:t>
                  </w:r>
                  <w:r>
                    <w:rPr>
                      <w:rFonts w:hint="default" w:ascii="Times New Roman" w:hAnsi="Times New Roman" w:cs="Times New Roman"/>
                      <w:color w:val="auto"/>
                      <w:sz w:val="21"/>
                      <w:szCs w:val="21"/>
                    </w:rPr>
                    <w:t>KVA变压器</w:t>
                  </w:r>
                  <w:r>
                    <w:rPr>
                      <w:rFonts w:hint="default" w:ascii="Times New Roman" w:hAnsi="Times New Roman" w:cs="Times New Roman"/>
                      <w:color w:val="auto"/>
                      <w:sz w:val="21"/>
                      <w:szCs w:val="21"/>
                      <w:lang w:eastAsia="zh-CN"/>
                    </w:rPr>
                    <w:t>接入及配备</w:t>
                  </w:r>
                  <w:r>
                    <w:rPr>
                      <w:rFonts w:hint="default" w:ascii="Times New Roman" w:hAnsi="Times New Roman" w:cs="Times New Roman"/>
                      <w:color w:val="auto"/>
                      <w:sz w:val="21"/>
                      <w:szCs w:val="21"/>
                    </w:rPr>
                    <w:t>1台500KW柴油发电机以满足用电需求</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699"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环保工程</w:t>
                  </w:r>
                </w:p>
              </w:tc>
              <w:tc>
                <w:tcPr>
                  <w:tcW w:w="426"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p>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气处理工程</w:t>
                  </w: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lang w:val="en-US" w:eastAsia="zh-CN"/>
                    </w:rPr>
                    <w:t>筛分粉尘</w:t>
                  </w:r>
                </w:p>
              </w:tc>
              <w:tc>
                <w:tcPr>
                  <w:tcW w:w="5037"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设备置于</w:t>
                  </w:r>
                  <w:r>
                    <w:rPr>
                      <w:rFonts w:hint="eastAsia" w:ascii="Times New Roman" w:hAnsi="Times New Roman" w:eastAsia="宋体" w:cs="Times New Roman"/>
                      <w:color w:val="auto"/>
                      <w:sz w:val="21"/>
                      <w:szCs w:val="21"/>
                      <w:highlight w:val="none"/>
                      <w:vertAlign w:val="baseline"/>
                      <w:lang w:val="en-US" w:eastAsia="zh-CN"/>
                    </w:rPr>
                    <w:t>封闭厂房内</w:t>
                  </w:r>
                  <w:r>
                    <w:rPr>
                      <w:rFonts w:hint="default" w:ascii="Times New Roman" w:hAnsi="Times New Roman" w:eastAsia="宋体" w:cs="Times New Roman"/>
                      <w:color w:val="auto"/>
                      <w:sz w:val="21"/>
                      <w:szCs w:val="21"/>
                      <w:highlight w:val="none"/>
                      <w:vertAlign w:val="baseline"/>
                      <w:lang w:val="en-US" w:eastAsia="zh-CN"/>
                    </w:rPr>
                    <w:t>，破碎</w:t>
                  </w:r>
                  <w:r>
                    <w:rPr>
                      <w:rFonts w:hint="eastAsia" w:ascii="Times New Roman" w:hAnsi="Times New Roman" w:eastAsia="宋体" w:cs="Times New Roman"/>
                      <w:color w:val="auto"/>
                      <w:sz w:val="21"/>
                      <w:szCs w:val="21"/>
                      <w:highlight w:val="none"/>
                      <w:vertAlign w:val="baseline"/>
                      <w:lang w:val="en-US" w:eastAsia="zh-CN"/>
                    </w:rPr>
                    <w:t>、筛分</w:t>
                  </w:r>
                  <w:r>
                    <w:rPr>
                      <w:rFonts w:hint="default" w:ascii="Times New Roman" w:hAnsi="Times New Roman" w:eastAsia="宋体" w:cs="Times New Roman"/>
                      <w:color w:val="auto"/>
                      <w:sz w:val="21"/>
                      <w:szCs w:val="21"/>
                      <w:highlight w:val="none"/>
                      <w:lang w:val="en-US" w:eastAsia="zh-CN" w:bidi="zh-CN"/>
                    </w:rPr>
                    <w:t>粉尘经</w:t>
                  </w:r>
                  <w:r>
                    <w:rPr>
                      <w:rFonts w:hint="eastAsia" w:ascii="Times New Roman" w:hAnsi="Times New Roman" w:eastAsia="宋体" w:cs="Times New Roman"/>
                      <w:color w:val="auto"/>
                      <w:sz w:val="21"/>
                      <w:szCs w:val="21"/>
                      <w:highlight w:val="none"/>
                      <w:lang w:val="en-US" w:eastAsia="zh-CN" w:bidi="zh-CN"/>
                    </w:rPr>
                    <w:t>喷淋</w:t>
                  </w:r>
                  <w:r>
                    <w:rPr>
                      <w:rFonts w:hint="default" w:ascii="Times New Roman" w:hAnsi="Times New Roman" w:eastAsia="宋体" w:cs="Times New Roman"/>
                      <w:color w:val="auto"/>
                      <w:sz w:val="21"/>
                      <w:szCs w:val="21"/>
                      <w:highlight w:val="none"/>
                      <w:lang w:val="en-US" w:eastAsia="zh-CN" w:bidi="zh-CN"/>
                    </w:rPr>
                    <w:t>+</w:t>
                  </w:r>
                  <w:r>
                    <w:rPr>
                      <w:rFonts w:hint="eastAsia" w:ascii="Times New Roman" w:hAnsi="Times New Roman" w:eastAsia="宋体" w:cs="Times New Roman"/>
                      <w:color w:val="auto"/>
                      <w:sz w:val="21"/>
                      <w:szCs w:val="21"/>
                      <w:highlight w:val="none"/>
                      <w:lang w:val="en-US" w:eastAsia="zh-CN" w:bidi="zh-CN"/>
                    </w:rPr>
                    <w:t>除尘器+</w:t>
                  </w:r>
                  <w:r>
                    <w:rPr>
                      <w:rFonts w:hint="default" w:ascii="Times New Roman" w:hAnsi="Times New Roman" w:eastAsia="宋体" w:cs="Times New Roman"/>
                      <w:color w:val="auto"/>
                      <w:sz w:val="21"/>
                      <w:szCs w:val="21"/>
                      <w:highlight w:val="none"/>
                      <w:lang w:val="en-US" w:eastAsia="zh-CN" w:bidi="zh-CN"/>
                    </w:rPr>
                    <w:t>厂房阻隔后无组织排放。</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原料堆场堆放粉尘</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bidi="zh-CN"/>
                    </w:rPr>
                    <w:t>原料堆场设置为</w:t>
                  </w:r>
                  <w:r>
                    <w:rPr>
                      <w:rFonts w:hint="eastAsia" w:ascii="Times New Roman" w:hAnsi="Times New Roman" w:eastAsia="宋体" w:cs="Times New Roman"/>
                      <w:color w:val="auto"/>
                      <w:sz w:val="21"/>
                      <w:szCs w:val="21"/>
                      <w:highlight w:val="none"/>
                      <w:lang w:val="en-US" w:eastAsia="zh-CN" w:bidi="zh-CN"/>
                    </w:rPr>
                    <w:t>封闭厂房</w:t>
                  </w:r>
                  <w:r>
                    <w:rPr>
                      <w:rFonts w:hint="default" w:ascii="Times New Roman" w:hAnsi="Times New Roman" w:eastAsia="宋体" w:cs="Times New Roman"/>
                      <w:color w:val="auto"/>
                      <w:sz w:val="21"/>
                      <w:szCs w:val="21"/>
                      <w:highlight w:val="none"/>
                      <w:lang w:val="en-US" w:eastAsia="zh-CN" w:bidi="zh-CN"/>
                    </w:rPr>
                    <w:t>，并设置喷淋设施，粉尘经厂房阻隔+洒水降尘后无组织排放。</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成品堆场堆放粉尘</w:t>
                  </w:r>
                </w:p>
              </w:tc>
              <w:tc>
                <w:tcPr>
                  <w:tcW w:w="5037"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成品堆场设置为</w:t>
                  </w:r>
                  <w:r>
                    <w:rPr>
                      <w:rFonts w:hint="eastAsia" w:ascii="Times New Roman" w:hAnsi="Times New Roman" w:eastAsia="宋体" w:cs="Times New Roman"/>
                      <w:color w:val="auto"/>
                      <w:sz w:val="21"/>
                      <w:szCs w:val="21"/>
                      <w:highlight w:val="none"/>
                      <w:lang w:val="en-US" w:eastAsia="zh-CN" w:bidi="zh-CN"/>
                    </w:rPr>
                    <w:t>除进出口外封闭厂房+顶棚</w:t>
                  </w:r>
                  <w:r>
                    <w:rPr>
                      <w:rFonts w:hint="default" w:ascii="Times New Roman" w:hAnsi="Times New Roman" w:eastAsia="宋体" w:cs="Times New Roman"/>
                      <w:color w:val="auto"/>
                      <w:sz w:val="21"/>
                      <w:szCs w:val="21"/>
                      <w:highlight w:val="none"/>
                      <w:lang w:val="en-US" w:eastAsia="zh-CN" w:bidi="zh-CN"/>
                    </w:rPr>
                    <w:t>，并设置喷淋设施，粉尘经厂房阻隔+洒水降尘后无组织排放。</w:t>
                  </w:r>
                </w:p>
              </w:tc>
              <w:tc>
                <w:tcPr>
                  <w:tcW w:w="11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皮带输送粉尘</w:t>
                  </w:r>
                </w:p>
              </w:tc>
              <w:tc>
                <w:tcPr>
                  <w:tcW w:w="5037" w:type="dxa"/>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bidi="zh-CN"/>
                    </w:rPr>
                    <w:t>皮带密闭</w:t>
                  </w:r>
                </w:p>
              </w:tc>
              <w:tc>
                <w:tcPr>
                  <w:tcW w:w="112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道路扬尘</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洒水车一辆</w:t>
                  </w:r>
                  <w:r>
                    <w:rPr>
                      <w:rFonts w:hint="eastAsia" w:ascii="Times New Roman" w:hAnsi="Times New Roman" w:eastAsia="宋体" w:cs="Times New Roman"/>
                      <w:color w:val="auto"/>
                      <w:sz w:val="21"/>
                      <w:szCs w:val="21"/>
                      <w:highlight w:val="none"/>
                      <w:lang w:val="en-US" w:eastAsia="zh-CN" w:bidi="zh-CN"/>
                    </w:rPr>
                    <w:t>，用于厂区道路洒水降尘</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废水处理工程</w:t>
                  </w: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default" w:ascii="Times New Roman" w:hAnsi="Times New Roman" w:eastAsia="宋体" w:cs="Times New Roman"/>
                      <w:color w:val="auto"/>
                      <w:kern w:val="2"/>
                      <w:sz w:val="21"/>
                      <w:szCs w:val="21"/>
                      <w:highlight w:val="none"/>
                      <w:lang w:val="en-US" w:eastAsia="zh-CN" w:bidi="ar-SA"/>
                    </w:rPr>
                    <w:t>生活污水</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b w:val="0"/>
                      <w:bCs w:val="0"/>
                      <w:color w:val="auto"/>
                      <w:sz w:val="21"/>
                      <w:szCs w:val="21"/>
                      <w:lang w:val="en-US" w:eastAsia="zh-CN"/>
                    </w:rPr>
                    <w:t>项目产生的厨房废水经油水分离器（≥0.3m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）隔油处理后连同生活清洗废水一并进入生活污水收集池（1m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），经收集池沉淀后用于厂区洒水降尘，不外排；项目配套设置旱厕（3m</w:t>
                  </w:r>
                  <w:r>
                    <w:rPr>
                      <w:rFonts w:hint="eastAsia" w:ascii="Times New Roman" w:hAnsi="Times New Roman" w:eastAsia="宋体" w:cs="Times New Roman"/>
                      <w:b w:val="0"/>
                      <w:bCs w:val="0"/>
                      <w:color w:val="auto"/>
                      <w:sz w:val="21"/>
                      <w:szCs w:val="21"/>
                      <w:vertAlign w:val="superscript"/>
                      <w:lang w:val="en-US" w:eastAsia="zh-CN"/>
                    </w:rPr>
                    <w:t>3</w:t>
                  </w:r>
                  <w:r>
                    <w:rPr>
                      <w:rFonts w:hint="eastAsia" w:ascii="Times New Roman" w:hAnsi="Times New Roman" w:eastAsia="宋体" w:cs="Times New Roman"/>
                      <w:b w:val="0"/>
                      <w:bCs w:val="0"/>
                      <w:color w:val="auto"/>
                      <w:sz w:val="21"/>
                      <w:szCs w:val="21"/>
                      <w:lang w:val="en-US" w:eastAsia="zh-CN"/>
                    </w:rPr>
                    <w:t>），定期清掏用于项目周边农田施肥，不外排。</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生活污水收集池</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snapToGrid/>
                      <w:color w:val="auto"/>
                      <w:spacing w:val="0"/>
                      <w:kern w:val="0"/>
                      <w:sz w:val="21"/>
                      <w:szCs w:val="21"/>
                      <w:highlight w:val="none"/>
                      <w:lang w:val="en-US" w:eastAsia="zh-CN" w:bidi="zh-CN"/>
                    </w:rPr>
                    <w:t>设置一个</w:t>
                  </w:r>
                  <w:r>
                    <w:rPr>
                      <w:rFonts w:hint="eastAsia" w:ascii="Times New Roman" w:hAnsi="Times New Roman" w:eastAsia="宋体" w:cs="Times New Roman"/>
                      <w:color w:val="auto"/>
                      <w:kern w:val="2"/>
                      <w:sz w:val="21"/>
                      <w:szCs w:val="21"/>
                      <w:highlight w:val="none"/>
                      <w:lang w:val="en-US" w:eastAsia="zh-CN" w:bidi="ar-SA"/>
                    </w:rPr>
                    <w:t>生活污水收集池（1m</w:t>
                  </w:r>
                  <w:r>
                    <w:rPr>
                      <w:rFonts w:hint="default" w:ascii="Times New Roman" w:hAnsi="Times New Roman" w:eastAsia="宋体" w:cs="Times New Roman"/>
                      <w:snapToGrid/>
                      <w:color w:val="auto"/>
                      <w:spacing w:val="0"/>
                      <w:kern w:val="0"/>
                      <w:sz w:val="21"/>
                      <w:szCs w:val="21"/>
                      <w:highlight w:val="none"/>
                      <w:vertAlign w:val="superscript"/>
                      <w:lang w:val="en-US" w:eastAsia="zh-CN" w:bidi="zh-CN"/>
                    </w:rPr>
                    <w:t>3</w:t>
                  </w:r>
                  <w:r>
                    <w:rPr>
                      <w:rFonts w:hint="eastAsia" w:ascii="Times New Roman" w:hAnsi="Times New Roman" w:eastAsia="宋体" w:cs="Times New Roman"/>
                      <w:color w:val="auto"/>
                      <w:kern w:val="2"/>
                      <w:sz w:val="21"/>
                      <w:szCs w:val="21"/>
                      <w:highlight w:val="none"/>
                      <w:lang w:val="en-US" w:eastAsia="zh-CN" w:bidi="ar-SA"/>
                    </w:rPr>
                    <w:t>）收集生活污水，用于降尘</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洗砂废水</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default" w:ascii="Times New Roman" w:hAnsi="Times New Roman" w:eastAsia="宋体" w:cs="Times New Roman"/>
                      <w:snapToGrid/>
                      <w:color w:val="auto"/>
                      <w:spacing w:val="0"/>
                      <w:kern w:val="0"/>
                      <w:sz w:val="21"/>
                      <w:szCs w:val="21"/>
                      <w:highlight w:val="none"/>
                      <w:lang w:val="en-US" w:eastAsia="zh-CN" w:bidi="zh-CN"/>
                    </w:rPr>
                    <w:t>设置三级沉淀，</w:t>
                  </w:r>
                  <w:r>
                    <w:rPr>
                      <w:rFonts w:hint="default" w:ascii="Times New Roman" w:hAnsi="Times New Roman" w:eastAsia="宋体" w:cs="Times New Roman"/>
                      <w:sz w:val="21"/>
                      <w:szCs w:val="21"/>
                      <w:lang w:val="en-US" w:eastAsia="zh-CN"/>
                    </w:rPr>
                    <w:t>沉淀池：3个，单个容积50m³</w:t>
                  </w:r>
                  <w:r>
                    <w:rPr>
                      <w:rFonts w:hint="eastAsia" w:ascii="Times New Roman" w:hAnsi="Times New Roman" w:eastAsia="宋体" w:cs="Times New Roman"/>
                      <w:sz w:val="21"/>
                      <w:szCs w:val="21"/>
                      <w:lang w:val="en-US" w:eastAsia="zh-CN"/>
                    </w:rPr>
                    <w:t>，洗砂废水进入沉淀池处理后回用</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初期雨水收集池</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1个，</w:t>
                  </w:r>
                  <w:r>
                    <w:rPr>
                      <w:rFonts w:hint="default" w:ascii="Times New Roman" w:hAnsi="Times New Roman" w:eastAsia="宋体" w:cs="Times New Roman"/>
                      <w:color w:val="auto"/>
                      <w:sz w:val="21"/>
                      <w:szCs w:val="21"/>
                      <w:highlight w:val="none"/>
                    </w:rPr>
                    <w:t>容积约</w:t>
                  </w:r>
                  <w:r>
                    <w:rPr>
                      <w:rFonts w:hint="default" w:ascii="Times New Roman" w:hAnsi="Times New Roman" w:eastAsia="宋体" w:cs="Times New Roman"/>
                      <w:color w:val="auto"/>
                      <w:sz w:val="21"/>
                      <w:szCs w:val="21"/>
                      <w:highlight w:val="none"/>
                      <w:u w:val="none"/>
                      <w:lang w:val="en-US" w:eastAsia="zh-CN"/>
                    </w:rPr>
                    <w:t>50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初期雨水收集进入初期雨水收集池沉淀处理回用于场地洒水降尘，不外排。</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738" w:type="dxa"/>
                  <w:gridSpan w:val="2"/>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噪声治理工程</w:t>
                  </w:r>
                </w:p>
              </w:tc>
              <w:tc>
                <w:tcPr>
                  <w:tcW w:w="503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bidi="zh-CN"/>
                    </w:rPr>
                    <w:t>设备安装减震垫、厂房隔声</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固废处置工程</w:t>
                  </w: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rPr>
                    <w:t>危险废物</w:t>
                  </w:r>
                  <w:r>
                    <w:rPr>
                      <w:rFonts w:hint="default" w:ascii="Times New Roman" w:hAnsi="Times New Roman" w:eastAsia="宋体" w:cs="Times New Roman"/>
                      <w:color w:val="auto"/>
                      <w:sz w:val="21"/>
                      <w:szCs w:val="21"/>
                      <w:highlight w:val="none"/>
                      <w:lang w:eastAsia="zh-CN"/>
                    </w:rPr>
                    <w:t>暂存间</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占地面积</w:t>
                  </w:r>
                  <w:r>
                    <w:rPr>
                      <w:rFonts w:hint="default" w:ascii="Times New Roman" w:hAnsi="Times New Roman" w:eastAsia="宋体" w:cs="Times New Roman"/>
                      <w:color w:val="auto"/>
                      <w:sz w:val="21"/>
                      <w:szCs w:val="21"/>
                      <w:highlight w:val="none"/>
                      <w:u w:val="none"/>
                      <w:lang w:val="en-US" w:eastAsia="zh-CN"/>
                    </w:rPr>
                    <w:t>15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用于</w:t>
                  </w:r>
                  <w:r>
                    <w:rPr>
                      <w:rFonts w:hint="default" w:ascii="Times New Roman" w:hAnsi="Times New Roman" w:eastAsia="宋体" w:cs="Times New Roman"/>
                      <w:color w:val="auto"/>
                      <w:sz w:val="21"/>
                      <w:szCs w:val="21"/>
                      <w:highlight w:val="none"/>
                      <w:vertAlign w:val="baseline"/>
                      <w:lang w:val="en-US" w:eastAsia="zh-CN"/>
                    </w:rPr>
                    <w:t>暂存项目</w:t>
                  </w:r>
                  <w:r>
                    <w:rPr>
                      <w:rFonts w:hint="default" w:ascii="Times New Roman" w:hAnsi="Times New Roman" w:eastAsia="宋体" w:cs="Times New Roman"/>
                      <w:color w:val="auto"/>
                      <w:sz w:val="21"/>
                      <w:szCs w:val="21"/>
                      <w:highlight w:val="none"/>
                      <w:lang w:eastAsia="zh-CN"/>
                    </w:rPr>
                    <w:t>设备维修及保养产生的</w:t>
                  </w:r>
                  <w:r>
                    <w:rPr>
                      <w:rFonts w:hint="eastAsia" w:ascii="Times New Roman" w:hAnsi="Times New Roman" w:eastAsia="宋体" w:cs="Times New Roman"/>
                      <w:b w:val="0"/>
                      <w:color w:val="auto"/>
                      <w:sz w:val="21"/>
                      <w:szCs w:val="21"/>
                      <w:highlight w:val="none"/>
                      <w:lang w:val="en-US" w:eastAsia="zh-CN"/>
                    </w:rPr>
                    <w:t>废机油</w:t>
                  </w:r>
                  <w:r>
                    <w:rPr>
                      <w:rFonts w:hint="default" w:ascii="Times New Roman" w:hAnsi="Times New Roman" w:eastAsia="宋体" w:cs="Times New Roman"/>
                      <w:b w:val="0"/>
                      <w:color w:val="auto"/>
                      <w:sz w:val="21"/>
                      <w:szCs w:val="21"/>
                      <w:highlight w:val="none"/>
                      <w:lang w:val="en-US" w:eastAsia="zh-CN"/>
                    </w:rPr>
                    <w:t>、</w:t>
                  </w:r>
                  <w:r>
                    <w:rPr>
                      <w:rFonts w:hint="eastAsia" w:ascii="Times New Roman" w:hAnsi="Times New Roman" w:eastAsia="宋体" w:cs="Times New Roman"/>
                      <w:b w:val="0"/>
                      <w:color w:val="auto"/>
                      <w:sz w:val="21"/>
                      <w:szCs w:val="21"/>
                      <w:highlight w:val="none"/>
                      <w:lang w:val="en-US" w:eastAsia="zh-CN"/>
                    </w:rPr>
                    <w:t>废机油</w:t>
                  </w:r>
                  <w:r>
                    <w:rPr>
                      <w:rFonts w:hint="default" w:ascii="Times New Roman" w:hAnsi="Times New Roman" w:eastAsia="宋体" w:cs="Times New Roman"/>
                      <w:b w:val="0"/>
                      <w:color w:val="auto"/>
                      <w:sz w:val="21"/>
                      <w:szCs w:val="21"/>
                      <w:highlight w:val="none"/>
                      <w:lang w:val="en-US" w:eastAsia="zh-CN"/>
                    </w:rPr>
                    <w:t>桶</w:t>
                  </w:r>
                  <w:r>
                    <w:rPr>
                      <w:rFonts w:hint="default" w:ascii="Times New Roman" w:hAnsi="Times New Roman" w:eastAsia="宋体" w:cs="Times New Roman"/>
                      <w:color w:val="auto"/>
                      <w:sz w:val="21"/>
                      <w:szCs w:val="21"/>
                      <w:highlight w:val="none"/>
                    </w:rPr>
                    <w:t>，定期委托有资质单位清运处置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lang w:val="en-US" w:eastAsia="zh-CN" w:bidi="ar"/>
                    </w:rPr>
                    <w:t>按《危险废物贮存污染控制标准》（GB18597-2023）的相关要求建设，做好防风、防雨、防渗漏措施。</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沉淀池池渣</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使用压滤机压滤后并入废土，运至弃渣场</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9"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426"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val="en-US" w:eastAsia="zh-CN"/>
                    </w:rPr>
                  </w:pPr>
                </w:p>
              </w:tc>
              <w:tc>
                <w:tcPr>
                  <w:tcW w:w="131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5037" w:type="dxa"/>
                  <w:noWrap w:val="0"/>
                  <w:vAlign w:val="center"/>
                </w:tcPr>
                <w:p>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生活垃圾桶若干，生活垃圾收集后</w:t>
                  </w:r>
                  <w:r>
                    <w:rPr>
                      <w:rFonts w:hint="default" w:ascii="Times New Roman" w:hAnsi="Times New Roman" w:eastAsia="宋体" w:cs="Times New Roman"/>
                      <w:color w:val="auto"/>
                      <w:sz w:val="21"/>
                      <w:szCs w:val="21"/>
                      <w:highlight w:val="none"/>
                      <w:lang w:eastAsia="zh-CN"/>
                    </w:rPr>
                    <w:t>环卫部门统一清运。</w:t>
                  </w:r>
                </w:p>
              </w:tc>
              <w:tc>
                <w:tcPr>
                  <w:tcW w:w="11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bl>
          <w:p>
            <w:pPr>
              <w:numPr>
                <w:ilvl w:val="0"/>
                <w:numId w:val="0"/>
              </w:numPr>
              <w:spacing w:line="360" w:lineRule="auto"/>
              <w:ind w:firstLine="482" w:firstLineChars="200"/>
              <w:rPr>
                <w:rFonts w:hint="default" w:ascii="Times New Roman" w:hAnsi="Times New Roman" w:eastAsia="宋体" w:cs="Times New Roman"/>
                <w:b/>
                <w:bCs/>
                <w:color w:val="auto"/>
                <w:kern w:val="21"/>
                <w:sz w:val="24"/>
                <w:szCs w:val="24"/>
                <w:lang w:eastAsia="zh-CN"/>
              </w:rPr>
            </w:pPr>
            <w:r>
              <w:rPr>
                <w:rFonts w:hint="eastAsia" w:ascii="Times New Roman" w:hAnsi="Times New Roman" w:eastAsia="宋体" w:cs="Times New Roman"/>
                <w:b/>
                <w:bCs/>
                <w:color w:val="auto"/>
                <w:kern w:val="21"/>
                <w:sz w:val="24"/>
                <w:szCs w:val="24"/>
                <w:lang w:val="en-US" w:eastAsia="zh-CN"/>
              </w:rPr>
              <w:t>3、</w:t>
            </w:r>
            <w:r>
              <w:rPr>
                <w:rFonts w:hint="default" w:ascii="Times New Roman" w:hAnsi="Times New Roman" w:eastAsia="宋体" w:cs="Times New Roman"/>
                <w:b/>
                <w:bCs/>
                <w:color w:val="auto"/>
                <w:kern w:val="21"/>
                <w:sz w:val="24"/>
                <w:szCs w:val="24"/>
              </w:rPr>
              <w:t>主要</w:t>
            </w:r>
            <w:r>
              <w:rPr>
                <w:rFonts w:hint="default" w:ascii="Times New Roman" w:hAnsi="Times New Roman" w:eastAsia="宋体" w:cs="Times New Roman"/>
                <w:b/>
                <w:bCs/>
                <w:color w:val="auto"/>
                <w:kern w:val="21"/>
                <w:sz w:val="24"/>
                <w:szCs w:val="24"/>
                <w:lang w:eastAsia="zh-CN"/>
              </w:rPr>
              <w:t>产品及产能</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Cs/>
                <w:color w:val="auto"/>
                <w:sz w:val="24"/>
                <w:szCs w:val="24"/>
                <w:highlight w:val="none"/>
              </w:rPr>
              <w:t>本项目设计</w:t>
            </w:r>
            <w:r>
              <w:rPr>
                <w:rFonts w:hint="default" w:ascii="Times New Roman" w:hAnsi="Times New Roman" w:eastAsia="宋体" w:cs="Times New Roman"/>
                <w:color w:val="auto"/>
                <w:kern w:val="21"/>
                <w:sz w:val="24"/>
                <w:szCs w:val="24"/>
                <w:lang w:val="en-US" w:eastAsia="zh-CN"/>
              </w:rPr>
              <w:t>年产</w:t>
            </w:r>
            <w:r>
              <w:rPr>
                <w:rFonts w:hint="eastAsia" w:ascii="Times New Roman" w:hAnsi="Times New Roman" w:eastAsia="宋体" w:cs="Times New Roman"/>
                <w:color w:val="auto"/>
                <w:kern w:val="21"/>
                <w:sz w:val="24"/>
                <w:szCs w:val="24"/>
                <w:lang w:val="en-US" w:eastAsia="zh-CN"/>
              </w:rPr>
              <w:t>10</w:t>
            </w:r>
            <w:r>
              <w:rPr>
                <w:rFonts w:hint="default" w:ascii="Times New Roman" w:hAnsi="Times New Roman" w:eastAsia="宋体" w:cs="Times New Roman"/>
                <w:color w:val="auto"/>
                <w:kern w:val="21"/>
                <w:sz w:val="24"/>
                <w:szCs w:val="24"/>
                <w:lang w:val="en-US" w:eastAsia="zh-CN"/>
              </w:rPr>
              <w:t>万t砂石料</w:t>
            </w:r>
            <w:r>
              <w:rPr>
                <w:rFonts w:hint="eastAsia" w:ascii="Times New Roman" w:hAnsi="Times New Roman" w:eastAsia="宋体" w:cs="Times New Roman"/>
                <w:color w:val="auto"/>
                <w:kern w:val="21"/>
                <w:sz w:val="24"/>
                <w:szCs w:val="24"/>
                <w:lang w:val="en-US" w:eastAsia="zh-CN"/>
              </w:rPr>
              <w:t>，</w:t>
            </w:r>
            <w:r>
              <w:rPr>
                <w:rFonts w:hint="default" w:ascii="Times New Roman" w:hAnsi="Times New Roman" w:eastAsia="宋体" w:cs="Times New Roman"/>
                <w:bCs/>
                <w:color w:val="auto"/>
                <w:sz w:val="24"/>
                <w:highlight w:val="none"/>
                <w:lang w:val="en-US" w:eastAsia="zh-CN"/>
              </w:rPr>
              <w:t>产品方案详见下表所示：</w:t>
            </w:r>
          </w:p>
          <w:p>
            <w:pPr>
              <w:keepNext/>
              <w:keepLines/>
              <w:jc w:val="center"/>
              <w:rPr>
                <w:rFonts w:hint="default" w:ascii="Times New Roman" w:hAnsi="Times New Roman" w:eastAsia="宋体" w:cs="Times New Roman"/>
                <w:b/>
                <w:bCs/>
                <w:color w:val="auto"/>
                <w:kern w:val="21"/>
                <w:sz w:val="21"/>
                <w:szCs w:val="21"/>
                <w:lang w:val="en-US" w:eastAsia="zh-CN"/>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kern w:val="21"/>
                <w:sz w:val="21"/>
                <w:szCs w:val="21"/>
                <w:lang w:val="en-US" w:eastAsia="zh-CN"/>
              </w:rPr>
              <w:t>产品方案</w:t>
            </w:r>
          </w:p>
          <w:tbl>
            <w:tblPr>
              <w:tblStyle w:val="26"/>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825"/>
              <w:gridCol w:w="2238"/>
              <w:gridCol w:w="172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产品名称</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eastAsia="zh-CN"/>
                    </w:rPr>
                    <w:t>年产量</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highlight w:val="none"/>
                    </w:rPr>
                    <w:t>规格</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产品形态</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eastAsia" w:eastAsia="宋体" w:cs="Times New Roman"/>
                      <w:lang w:val="en-US" w:eastAsia="zh-CN"/>
                    </w:rPr>
                    <w:t>成品中大骨料</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19</w:t>
                  </w:r>
                  <w:r>
                    <w:rPr>
                      <w:rFonts w:hint="default" w:ascii="Times New Roman" w:hAnsi="Times New Roman" w:cs="Times New Roman"/>
                      <w:sz w:val="21"/>
                      <w:szCs w:val="21"/>
                    </w:rPr>
                    <w:t>～31.5mm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lang w:val="en-US" w:eastAsia="zh-CN"/>
                    </w:rPr>
                    <w:t>成品中小骨料</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9.5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rPr>
                    <w:t>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sz w:val="21"/>
                      <w:szCs w:val="21"/>
                      <w:lang w:val="en-US" w:eastAsia="zh-CN"/>
                    </w:rPr>
                    <w:t>成品砂</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4.75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9.5</w:t>
                  </w:r>
                  <w:r>
                    <w:rPr>
                      <w:rFonts w:hint="default" w:ascii="Times New Roman" w:hAnsi="Times New Roman" w:cs="Times New Roman"/>
                      <w:sz w:val="21"/>
                      <w:szCs w:val="21"/>
                    </w:rPr>
                    <w:t>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成品砂</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粒径为：</w:t>
                  </w:r>
                  <w:r>
                    <w:rPr>
                      <w:rFonts w:hint="eastAsia" w:ascii="Times New Roman" w:hAnsi="Times New Roman" w:eastAsia="宋体"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4.75</w:t>
                  </w:r>
                  <w:r>
                    <w:rPr>
                      <w:rFonts w:hint="default" w:ascii="Times New Roman" w:hAnsi="Times New Roman" w:cs="Times New Roman"/>
                      <w:sz w:val="21"/>
                      <w:szCs w:val="21"/>
                    </w:rPr>
                    <w:t>mm</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固体</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合计</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lang w:val="en-US" w:eastAsia="zh-CN"/>
                    </w:rPr>
                    <w:t>万t</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r>
          </w:tbl>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
                <w:bCs/>
                <w:color w:val="auto"/>
                <w:kern w:val="21"/>
                <w:sz w:val="24"/>
                <w:szCs w:val="24"/>
                <w:lang w:val="en-US" w:eastAsia="zh-CN"/>
              </w:rPr>
            </w:pPr>
            <w:r>
              <w:rPr>
                <w:rFonts w:hint="eastAsia" w:ascii="Times New Roman" w:hAnsi="Times New Roman" w:cs="Times New Roman"/>
                <w:kern w:val="2"/>
                <w:sz w:val="24"/>
                <w:szCs w:val="24"/>
                <w:lang w:val="en-US" w:eastAsia="zh-CN" w:bidi="ar-SA"/>
              </w:rPr>
              <w:t>本砂石料场所生产砂石料只供给高速路建设使用不外售。</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color w:val="auto"/>
                <w:kern w:val="21"/>
                <w:sz w:val="24"/>
                <w:szCs w:val="24"/>
              </w:rPr>
            </w:pPr>
            <w:r>
              <w:rPr>
                <w:rFonts w:hint="default" w:ascii="Times New Roman" w:hAnsi="Times New Roman" w:eastAsia="宋体" w:cs="Times New Roman"/>
                <w:b/>
                <w:bCs/>
                <w:color w:val="auto"/>
                <w:kern w:val="21"/>
                <w:sz w:val="24"/>
                <w:szCs w:val="24"/>
                <w:lang w:val="en-US" w:eastAsia="zh-CN"/>
              </w:rPr>
              <w:t>4</w:t>
            </w:r>
            <w:r>
              <w:rPr>
                <w:rFonts w:hint="default" w:ascii="Times New Roman" w:hAnsi="Times New Roman" w:eastAsia="宋体" w:cs="Times New Roman"/>
                <w:b/>
                <w:bCs/>
                <w:color w:val="auto"/>
                <w:kern w:val="21"/>
                <w:sz w:val="24"/>
                <w:szCs w:val="24"/>
              </w:rPr>
              <w:t>、主要原辅材料</w:t>
            </w:r>
          </w:p>
          <w:p>
            <w:pPr>
              <w:pStyle w:val="34"/>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default" w:ascii="Times New Roman" w:hAnsi="Times New Roman" w:eastAsia="宋体" w:cs="Times New Roman"/>
                <w:b w:val="0"/>
                <w:bCs/>
                <w:color w:val="auto"/>
                <w:lang w:eastAsia="zh-CN"/>
              </w:rPr>
            </w:pPr>
            <w:r>
              <w:rPr>
                <w:rFonts w:hint="eastAsia" w:ascii="Times New Roman" w:hAnsi="Times New Roman" w:cs="Times New Roman"/>
                <w:lang w:eastAsia="zh-CN"/>
              </w:rPr>
              <w:t>年产砂石料10万吨</w:t>
            </w:r>
            <w:r>
              <w:rPr>
                <w:rFonts w:hint="default" w:ascii="Times New Roman" w:hAnsi="Times New Roman" w:cs="Times New Roman"/>
              </w:rPr>
              <w:t>，</w:t>
            </w:r>
            <w:r>
              <w:rPr>
                <w:rFonts w:hint="default" w:ascii="Times New Roman" w:hAnsi="Times New Roman" w:cs="Times New Roman"/>
                <w:b w:val="0"/>
                <w:bCs/>
                <w:lang w:val="en-US" w:eastAsia="zh-CN"/>
              </w:rPr>
              <w:t>原料来源于</w:t>
            </w:r>
            <w:r>
              <w:rPr>
                <w:rFonts w:hint="default" w:ascii="Times New Roman" w:hAnsi="Times New Roman" w:cs="Times New Roman"/>
                <w:b w:val="0"/>
                <w:bCs/>
              </w:rPr>
              <w:t>云龙至永平高速公路</w:t>
            </w:r>
            <w:r>
              <w:rPr>
                <w:rFonts w:hint="eastAsia" w:ascii="Times New Roman" w:hAnsi="Times New Roman" w:cs="Times New Roman"/>
                <w:b w:val="0"/>
                <w:bCs/>
                <w:lang w:val="en-US" w:eastAsia="zh-CN"/>
              </w:rPr>
              <w:t>狮头山</w:t>
            </w:r>
            <w:r>
              <w:rPr>
                <w:rFonts w:hint="default" w:ascii="Times New Roman" w:hAnsi="Times New Roman" w:cs="Times New Roman"/>
                <w:b w:val="0"/>
                <w:bCs/>
              </w:rPr>
              <w:t>隧洞洞渣</w:t>
            </w: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洞渣</w:t>
            </w:r>
            <w:r>
              <w:rPr>
                <w:rFonts w:hint="default" w:ascii="Times New Roman" w:hAnsi="Times New Roman" w:cs="Times New Roman"/>
                <w:b w:val="0"/>
                <w:bCs/>
                <w:lang w:val="en-US" w:eastAsia="zh-CN"/>
              </w:rPr>
              <w:t>泥土含量为10%，</w:t>
            </w:r>
            <w:r>
              <w:rPr>
                <w:rFonts w:hint="eastAsia" w:ascii="Times New Roman" w:hAnsi="Times New Roman" w:cs="Times New Roman"/>
                <w:b w:val="0"/>
                <w:bCs/>
                <w:lang w:val="en-US" w:eastAsia="zh-CN"/>
              </w:rPr>
              <w:t>约</w:t>
            </w:r>
            <w:r>
              <w:rPr>
                <w:rFonts w:hint="default" w:ascii="Times New Roman" w:hAnsi="Times New Roman" w:cs="Times New Roman"/>
                <w:b w:val="0"/>
                <w:bCs/>
              </w:rPr>
              <w:t>产生</w:t>
            </w:r>
            <w:r>
              <w:rPr>
                <w:rFonts w:hint="eastAsia" w:ascii="Times New Roman" w:hAnsi="Times New Roman" w:cs="Times New Roman"/>
                <w:b w:val="0"/>
                <w:bCs/>
                <w:lang w:val="en-US" w:eastAsia="zh-CN"/>
              </w:rPr>
              <w:t>1</w:t>
            </w:r>
            <w:r>
              <w:rPr>
                <w:rFonts w:hint="default" w:ascii="Times New Roman" w:hAnsi="Times New Roman" w:cs="Times New Roman"/>
                <w:b w:val="0"/>
                <w:bCs/>
              </w:rPr>
              <w:t>万吨/年泥</w:t>
            </w:r>
            <w:r>
              <w:rPr>
                <w:rFonts w:hint="default" w:ascii="Times New Roman" w:hAnsi="Times New Roman" w:cs="Times New Roman"/>
                <w:b w:val="0"/>
                <w:bCs/>
                <w:lang w:val="en-US" w:eastAsia="zh-CN"/>
              </w:rPr>
              <w:t>土</w:t>
            </w:r>
            <w:r>
              <w:rPr>
                <w:rFonts w:hint="eastAsia" w:ascii="Times New Roman" w:hAnsi="Times New Roman" w:cs="Times New Roman"/>
                <w:b w:val="0"/>
                <w:bCs/>
                <w:lang w:val="en-US" w:eastAsia="zh-CN"/>
              </w:rPr>
              <w:t>，则项目原料</w:t>
            </w:r>
            <w:r>
              <w:rPr>
                <w:rFonts w:hint="default" w:ascii="Times New Roman" w:hAnsi="Times New Roman" w:cs="Times New Roman"/>
                <w:b w:val="0"/>
                <w:bCs/>
              </w:rPr>
              <w:t>洞渣</w:t>
            </w:r>
            <w:r>
              <w:rPr>
                <w:rFonts w:hint="eastAsia" w:ascii="Times New Roman" w:hAnsi="Times New Roman" w:cs="Times New Roman"/>
                <w:b w:val="0"/>
                <w:bCs/>
                <w:lang w:val="en-US" w:eastAsia="zh-CN"/>
              </w:rPr>
              <w:t>为11</w:t>
            </w:r>
            <w:r>
              <w:rPr>
                <w:rFonts w:hint="default" w:ascii="Times New Roman" w:hAnsi="Times New Roman" w:cs="Times New Roman"/>
                <w:b w:val="0"/>
                <w:bCs/>
              </w:rPr>
              <w:t>万吨</w:t>
            </w:r>
            <w:r>
              <w:rPr>
                <w:rFonts w:hint="eastAsia" w:ascii="Times New Roman" w:hAnsi="Times New Roman" w:cs="Times New Roman"/>
                <w:b w:val="0"/>
                <w:bCs/>
                <w:lang w:val="en-US" w:eastAsia="zh-CN"/>
              </w:rPr>
              <w:t>/年</w:t>
            </w:r>
            <w:r>
              <w:rPr>
                <w:rFonts w:hint="default" w:ascii="Times New Roman" w:hAnsi="Times New Roman" w:cs="Times New Roman"/>
                <w:b w:val="0"/>
                <w:bCs/>
              </w:rPr>
              <w:t>。</w:t>
            </w:r>
            <w:r>
              <w:rPr>
                <w:rFonts w:hint="eastAsia" w:ascii="Times New Roman" w:hAnsi="Times New Roman" w:cs="Times New Roman"/>
                <w:b w:val="0"/>
                <w:bCs/>
                <w:lang w:val="en-US" w:eastAsia="zh-CN"/>
              </w:rPr>
              <w:t>废土定时</w:t>
            </w:r>
            <w:r>
              <w:rPr>
                <w:rFonts w:hint="default" w:ascii="Times New Roman" w:hAnsi="Times New Roman" w:cs="Times New Roman"/>
                <w:b w:val="0"/>
                <w:bCs/>
              </w:rPr>
              <w:t>清运云龙至永平高速公路的弃渣场</w:t>
            </w:r>
            <w:r>
              <w:rPr>
                <w:rFonts w:hint="default" w:ascii="Times New Roman" w:hAnsi="Times New Roman" w:cs="Times New Roman"/>
                <w:b w:val="0"/>
                <w:bCs/>
                <w:lang w:eastAsia="zh-CN"/>
              </w:rPr>
              <w:t>，</w:t>
            </w:r>
            <w:r>
              <w:rPr>
                <w:rFonts w:hint="default" w:ascii="Times New Roman" w:hAnsi="Times New Roman" w:eastAsia="宋体" w:cs="Times New Roman"/>
                <w:b w:val="0"/>
                <w:bCs/>
                <w:color w:val="auto"/>
              </w:rPr>
              <w:t>主要原辅材料及能源消耗见</w:t>
            </w:r>
            <w:r>
              <w:rPr>
                <w:rFonts w:hint="default" w:ascii="Times New Roman" w:hAnsi="Times New Roman" w:eastAsia="宋体" w:cs="Times New Roman"/>
                <w:b w:val="0"/>
                <w:bCs/>
                <w:color w:val="auto"/>
                <w:lang w:eastAsia="zh-CN"/>
              </w:rPr>
              <w:t>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3原辅料</w:t>
            </w:r>
            <w:r>
              <w:rPr>
                <w:rFonts w:hint="default" w:ascii="Times New Roman" w:hAnsi="Times New Roman" w:eastAsia="宋体" w:cs="Times New Roman"/>
                <w:b/>
                <w:bCs/>
                <w:color w:val="auto"/>
                <w:sz w:val="21"/>
                <w:szCs w:val="21"/>
              </w:rPr>
              <w:t>及能源消耗一览表</w:t>
            </w:r>
          </w:p>
          <w:tbl>
            <w:tblPr>
              <w:tblStyle w:val="26"/>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60"/>
              <w:gridCol w:w="1277"/>
              <w:gridCol w:w="1376"/>
              <w:gridCol w:w="745"/>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rPr>
                    <w:t>序号</w:t>
                  </w:r>
                </w:p>
              </w:tc>
              <w:tc>
                <w:tcPr>
                  <w:tcW w:w="1060"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rPr>
                    <w:t>名称</w:t>
                  </w:r>
                </w:p>
              </w:tc>
              <w:tc>
                <w:tcPr>
                  <w:tcW w:w="1277"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rPr>
                    <w:t>消耗量</w:t>
                  </w:r>
                </w:p>
              </w:tc>
              <w:tc>
                <w:tcPr>
                  <w:tcW w:w="1376"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b/>
                      <w:bCs/>
                      <w:color w:val="auto"/>
                      <w:kern w:val="0"/>
                      <w:sz w:val="21"/>
                      <w:szCs w:val="21"/>
                      <w:highlight w:val="none"/>
                      <w:u w:val="none"/>
                      <w:lang w:eastAsia="zh-CN"/>
                    </w:rPr>
                    <w:t>最大储存量</w:t>
                  </w:r>
                </w:p>
              </w:tc>
              <w:tc>
                <w:tcPr>
                  <w:tcW w:w="745"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lang w:val="en-US" w:eastAsia="zh-CN"/>
                    </w:rPr>
                  </w:pPr>
                  <w:r>
                    <w:rPr>
                      <w:rFonts w:hint="default" w:ascii="Times New Roman" w:hAnsi="Times New Roman" w:eastAsia="宋体" w:cs="Times New Roman"/>
                      <w:b/>
                      <w:bCs/>
                      <w:color w:val="auto"/>
                      <w:kern w:val="0"/>
                      <w:sz w:val="21"/>
                      <w:szCs w:val="21"/>
                      <w:highlight w:val="none"/>
                      <w:u w:val="none"/>
                      <w:lang w:val="en-US" w:eastAsia="zh-CN"/>
                    </w:rPr>
                    <w:t>形态</w:t>
                  </w:r>
                </w:p>
              </w:tc>
              <w:tc>
                <w:tcPr>
                  <w:tcW w:w="3709"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lang w:eastAsia="zh-CN"/>
                    </w:rPr>
                  </w:pPr>
                  <w:r>
                    <w:rPr>
                      <w:rFonts w:hint="default" w:ascii="Times New Roman" w:hAnsi="Times New Roman" w:eastAsia="宋体" w:cs="Times New Roman"/>
                      <w:b/>
                      <w:bCs/>
                      <w:color w:val="auto"/>
                      <w:kern w:val="0"/>
                      <w:sz w:val="21"/>
                      <w:szCs w:val="21"/>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u w:val="none"/>
                    </w:rPr>
                  </w:pPr>
                  <w:r>
                    <w:rPr>
                      <w:rFonts w:hint="default" w:ascii="Times New Roman" w:hAnsi="Times New Roman" w:eastAsia="宋体" w:cs="Times New Roman"/>
                      <w:color w:val="auto"/>
                      <w:kern w:val="0"/>
                      <w:sz w:val="21"/>
                      <w:szCs w:val="21"/>
                      <w:highlight w:val="none"/>
                      <w:u w:val="none"/>
                    </w:rPr>
                    <w:t>1</w:t>
                  </w:r>
                </w:p>
              </w:tc>
              <w:tc>
                <w:tcPr>
                  <w:tcW w:w="10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rPr>
                    <w:t>隧洞洞渣</w:t>
                  </w:r>
                </w:p>
              </w:tc>
              <w:tc>
                <w:tcPr>
                  <w:tcW w:w="127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110000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1376"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i w:val="0"/>
                      <w:iCs w:val="0"/>
                      <w:color w:val="auto"/>
                      <w:kern w:val="0"/>
                      <w:sz w:val="21"/>
                      <w:szCs w:val="21"/>
                      <w:highlight w:val="none"/>
                      <w:u w:val="none"/>
                      <w:lang w:val="en-US" w:eastAsia="zh-CN" w:bidi="ar"/>
                    </w:rPr>
                    <w:t>1800</w:t>
                  </w:r>
                  <w:r>
                    <w:rPr>
                      <w:rFonts w:hint="default" w:ascii="Times New Roman" w:hAnsi="Times New Roman" w:eastAsia="宋体" w:cs="Times New Roman"/>
                      <w:i w:val="0"/>
                      <w:iCs w:val="0"/>
                      <w:color w:val="auto"/>
                      <w:kern w:val="0"/>
                      <w:sz w:val="21"/>
                      <w:szCs w:val="21"/>
                      <w:highlight w:val="none"/>
                      <w:u w:val="none"/>
                      <w:lang w:val="en-US" w:eastAsia="zh-CN" w:bidi="ar"/>
                    </w:rPr>
                    <w:t>t</w:t>
                  </w:r>
                </w:p>
              </w:tc>
              <w:tc>
                <w:tcPr>
                  <w:tcW w:w="745"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u w:val="none"/>
                      <w:lang w:val="en-US" w:eastAsia="zh-CN"/>
                    </w:rPr>
                    <w:t>固态</w:t>
                  </w:r>
                </w:p>
              </w:tc>
              <w:tc>
                <w:tcPr>
                  <w:tcW w:w="370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来源于高速公路隧道渣土</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（注：本项目不涉及开采，石料不涉及废石及尾矿砂石）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w:t>
                  </w:r>
                </w:p>
              </w:tc>
              <w:tc>
                <w:tcPr>
                  <w:tcW w:w="1060"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水</w:t>
                  </w:r>
                </w:p>
              </w:tc>
              <w:tc>
                <w:tcPr>
                  <w:tcW w:w="1277"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5168.24</w:t>
                  </w:r>
                  <w:r>
                    <w:rPr>
                      <w:rFonts w:hint="default" w:ascii="Times New Roman" w:hAnsi="Times New Roman" w:eastAsia="宋体" w:cs="Times New Roman"/>
                      <w:color w:val="auto"/>
                      <w:sz w:val="21"/>
                      <w:szCs w:val="21"/>
                      <w:highlight w:val="none"/>
                      <w:u w:val="none"/>
                    </w:rPr>
                    <w:t>m³/a</w:t>
                  </w:r>
                </w:p>
              </w:tc>
              <w:tc>
                <w:tcPr>
                  <w:tcW w:w="1376"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745" w:type="dxa"/>
                  <w:noWrap w:val="0"/>
                  <w:vAlign w:val="center"/>
                </w:tcPr>
                <w:p>
                  <w:pPr>
                    <w:pStyle w:val="25"/>
                    <w:spacing w:after="0"/>
                    <w:ind w:left="0" w:leftChars="0"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37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eastAsia="宋体" w:cs="Times New Roman"/>
                      <w:i w:val="0"/>
                      <w:iCs w:val="0"/>
                      <w:color w:val="auto"/>
                      <w:kern w:val="2"/>
                      <w:sz w:val="21"/>
                      <w:szCs w:val="21"/>
                      <w:highlight w:val="none"/>
                      <w:u w:val="none"/>
                      <w:lang w:val="en-US" w:eastAsia="zh-CN" w:bidi="ar-SA"/>
                    </w:rPr>
                    <w:t>龙子潭村</w:t>
                  </w:r>
                  <w:r>
                    <w:rPr>
                      <w:rFonts w:hint="default" w:ascii="Times New Roman" w:hAnsi="Times New Roman" w:eastAsia="宋体" w:cs="Times New Roman"/>
                      <w:i w:val="0"/>
                      <w:iCs w:val="0"/>
                      <w:color w:val="auto"/>
                      <w:kern w:val="2"/>
                      <w:sz w:val="21"/>
                      <w:szCs w:val="21"/>
                      <w:highlight w:val="none"/>
                      <w:u w:val="none"/>
                      <w:lang w:val="en-US" w:eastAsia="zh-CN" w:bidi="ar-SA"/>
                    </w:rPr>
                    <w:t>供水管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0"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3</w:t>
                  </w:r>
                </w:p>
              </w:tc>
              <w:tc>
                <w:tcPr>
                  <w:tcW w:w="1060"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u w:val="none"/>
                    </w:rPr>
                    <w:t>电</w:t>
                  </w:r>
                </w:p>
              </w:tc>
              <w:tc>
                <w:tcPr>
                  <w:tcW w:w="1277"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u w:val="none"/>
                      <w:lang w:val="en-US" w:eastAsia="zh-CN"/>
                    </w:rPr>
                    <w:t>10万</w:t>
                  </w:r>
                  <w:r>
                    <w:rPr>
                      <w:rFonts w:hint="default" w:ascii="Times New Roman" w:hAnsi="Times New Roman" w:eastAsia="宋体" w:cs="Times New Roman"/>
                      <w:color w:val="auto"/>
                      <w:sz w:val="21"/>
                      <w:szCs w:val="21"/>
                      <w:highlight w:val="none"/>
                      <w:u w:val="none"/>
                    </w:rPr>
                    <w:t>kwh/a</w:t>
                  </w:r>
                </w:p>
              </w:tc>
              <w:tc>
                <w:tcPr>
                  <w:tcW w:w="1376"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w:t>
                  </w:r>
                </w:p>
              </w:tc>
              <w:tc>
                <w:tcPr>
                  <w:tcW w:w="745" w:type="dxa"/>
                  <w:shd w:val="clear" w:color="auto" w:fill="auto"/>
                  <w:noWrap w:val="0"/>
                  <w:vAlign w:val="center"/>
                </w:tcPr>
                <w:p>
                  <w:pPr>
                    <w:pStyle w:val="25"/>
                    <w:spacing w:after="0"/>
                    <w:ind w:left="0" w:leftChars="0" w:firstLine="0" w:firstLineChars="0"/>
                    <w:jc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w:t>
                  </w:r>
                </w:p>
              </w:tc>
              <w:tc>
                <w:tcPr>
                  <w:tcW w:w="3709"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当地电网接入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eastAsia="zh-CN"/>
              </w:rPr>
              <w:t>项目</w:t>
            </w:r>
            <w:r>
              <w:rPr>
                <w:rFonts w:hint="default" w:ascii="Times New Roman" w:hAnsi="Times New Roman" w:eastAsia="宋体" w:cs="Times New Roman"/>
                <w:b/>
                <w:bCs/>
                <w:color w:val="auto"/>
                <w:sz w:val="24"/>
                <w:highlight w:val="none"/>
              </w:rPr>
              <w:t>主要生产设备</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项目主要</w:t>
            </w:r>
            <w:r>
              <w:rPr>
                <w:rFonts w:hint="default" w:ascii="Times New Roman" w:hAnsi="Times New Roman" w:eastAsia="宋体" w:cs="Times New Roman"/>
                <w:color w:val="auto"/>
                <w:kern w:val="0"/>
                <w:sz w:val="24"/>
                <w:highlight w:val="none"/>
                <w:lang w:eastAsia="zh-CN"/>
              </w:rPr>
              <w:t>设备</w:t>
            </w:r>
            <w:r>
              <w:rPr>
                <w:rFonts w:hint="default" w:ascii="Times New Roman" w:hAnsi="Times New Roman" w:eastAsia="宋体" w:cs="Times New Roman"/>
                <w:color w:val="auto"/>
                <w:kern w:val="0"/>
                <w:sz w:val="24"/>
                <w:highlight w:val="none"/>
              </w:rPr>
              <w:t>见下表。</w:t>
            </w:r>
          </w:p>
          <w:p>
            <w:pPr>
              <w:keepNext/>
              <w:keepLines/>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本项目主要</w:t>
            </w:r>
            <w:r>
              <w:rPr>
                <w:rFonts w:hint="default" w:ascii="Times New Roman" w:hAnsi="Times New Roman" w:eastAsia="宋体" w:cs="Times New Roman"/>
                <w:b/>
                <w:bCs/>
                <w:color w:val="auto"/>
                <w:sz w:val="21"/>
                <w:szCs w:val="21"/>
                <w:lang w:eastAsia="zh-CN"/>
              </w:rPr>
              <w:t>生产</w:t>
            </w:r>
            <w:r>
              <w:rPr>
                <w:rFonts w:hint="default" w:ascii="Times New Roman" w:hAnsi="Times New Roman" w:eastAsia="宋体" w:cs="Times New Roman"/>
                <w:b/>
                <w:bCs/>
                <w:color w:val="auto"/>
                <w:sz w:val="21"/>
                <w:szCs w:val="21"/>
              </w:rPr>
              <w:t>设备一览表</w:t>
            </w:r>
          </w:p>
          <w:tbl>
            <w:tblPr>
              <w:tblStyle w:val="27"/>
              <w:tblW w:w="8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62"/>
              <w:gridCol w:w="2161"/>
              <w:gridCol w:w="702"/>
              <w:gridCol w:w="682"/>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58" w:type="dxa"/>
                  <w:vAlign w:val="center"/>
                </w:tcPr>
                <w:p>
                  <w:pPr>
                    <w:pageBreakBefore w:val="0"/>
                    <w:widowControl w:val="0"/>
                    <w:tabs>
                      <w:tab w:val="left" w:pos="462"/>
                    </w:tabs>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编号</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设备名称</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规格型号</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单位</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数量</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1</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振动给料机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ZSW-490×130型</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2</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破碎机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颚式破碎机</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3</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圆锥机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SJ1650型</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4</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振动筛床</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Z460型振筛筛机</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5</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立</w:t>
                  </w:r>
                  <w:r>
                    <w:rPr>
                      <w:rFonts w:hint="default" w:ascii="Times New Roman" w:hAnsi="Times New Roman" w:cs="Times New Roman" w:eastAsiaTheme="minorEastAsia"/>
                      <w:sz w:val="21"/>
                      <w:szCs w:val="21"/>
                      <w:vertAlign w:val="baseline"/>
                      <w:lang w:val="en-US" w:eastAsia="zh-CN"/>
                    </w:rPr>
                    <w:t>式制砂机</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900x1500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6</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振动筛</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2400x7000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7</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eastAsia="宋体" w:cs="Times New Roman"/>
                      <w:color w:val="auto"/>
                      <w:kern w:val="2"/>
                      <w:sz w:val="21"/>
                      <w:szCs w:val="21"/>
                      <w:lang w:val="en-US" w:eastAsia="zh-CN" w:bidi="ar-SA"/>
                    </w:rPr>
                    <w:t>输送皮带</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米</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40</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8</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洗石机</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955/956</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9</w:t>
                  </w:r>
                </w:p>
              </w:tc>
              <w:tc>
                <w:tcPr>
                  <w:tcW w:w="156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洗砂机</w:t>
                  </w:r>
                </w:p>
              </w:tc>
              <w:tc>
                <w:tcPr>
                  <w:tcW w:w="2161"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420/460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c>
                <w:tcPr>
                  <w:tcW w:w="68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挖掘机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卡特320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11</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装载机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山东</w:t>
                  </w:r>
                  <w:r>
                    <w:rPr>
                      <w:rFonts w:hint="eastAsia" w:ascii="Times New Roman" w:hAnsi="Times New Roman" w:eastAsia="宋体" w:cs="Times New Roman"/>
                      <w:color w:val="auto"/>
                      <w:kern w:val="2"/>
                      <w:sz w:val="21"/>
                      <w:szCs w:val="21"/>
                      <w:lang w:val="en-US" w:eastAsia="zh-CN" w:bidi="ar-SA"/>
                    </w:rPr>
                    <w:t>夏</w:t>
                  </w:r>
                  <w:r>
                    <w:rPr>
                      <w:rFonts w:hint="default" w:ascii="Times New Roman" w:hAnsi="Times New Roman" w:eastAsia="宋体" w:cs="Times New Roman"/>
                      <w:color w:val="auto"/>
                      <w:kern w:val="2"/>
                      <w:sz w:val="21"/>
                      <w:szCs w:val="21"/>
                      <w:lang w:val="en-US" w:eastAsia="zh-CN" w:bidi="ar-SA"/>
                    </w:rPr>
                    <w:t>工50</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156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压路机</w:t>
                  </w:r>
                </w:p>
              </w:tc>
              <w:tc>
                <w:tcPr>
                  <w:tcW w:w="2161"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20t</w:t>
                  </w:r>
                </w:p>
              </w:tc>
              <w:tc>
                <w:tcPr>
                  <w:tcW w:w="70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vAlign w:val="center"/>
                </w:tcPr>
                <w:p>
                  <w:pPr>
                    <w:pStyle w:val="34"/>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1</w:t>
                  </w:r>
                </w:p>
              </w:tc>
              <w:tc>
                <w:tcPr>
                  <w:tcW w:w="2632" w:type="dxa"/>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13</w:t>
                  </w:r>
                </w:p>
              </w:tc>
              <w:tc>
                <w:tcPr>
                  <w:tcW w:w="1562" w:type="dxa"/>
                  <w:shd w:val="clear" w:color="auto" w:fill="auto"/>
                  <w:vAlign w:val="center"/>
                </w:tcPr>
                <w:p>
                  <w:pPr>
                    <w:pStyle w:val="34"/>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自卸汽车</w:t>
                  </w:r>
                </w:p>
              </w:tc>
              <w:tc>
                <w:tcPr>
                  <w:tcW w:w="2161" w:type="dxa"/>
                  <w:shd w:val="clear" w:color="auto" w:fill="auto"/>
                  <w:vAlign w:val="center"/>
                </w:tcPr>
                <w:p>
                  <w:pPr>
                    <w:pStyle w:val="34"/>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SA"/>
                    </w:rPr>
                    <w:t>后八轮</w:t>
                  </w:r>
                </w:p>
              </w:tc>
              <w:tc>
                <w:tcPr>
                  <w:tcW w:w="70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vertAlign w:val="baseline"/>
                      <w:lang w:val="en-US" w:eastAsia="zh-CN"/>
                    </w:rPr>
                    <w:t>辆</w:t>
                  </w:r>
                </w:p>
              </w:tc>
              <w:tc>
                <w:tcPr>
                  <w:tcW w:w="682" w:type="dxa"/>
                  <w:shd w:val="clear" w:color="auto" w:fill="auto"/>
                  <w:vAlign w:val="center"/>
                </w:tcPr>
                <w:p>
                  <w:pPr>
                    <w:pStyle w:val="34"/>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263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14</w:t>
                  </w:r>
                </w:p>
              </w:tc>
              <w:tc>
                <w:tcPr>
                  <w:tcW w:w="1562" w:type="dxa"/>
                  <w:shd w:val="clear" w:color="auto" w:fill="auto"/>
                  <w:vAlign w:val="center"/>
                </w:tcPr>
                <w:p>
                  <w:pPr>
                    <w:pStyle w:val="34"/>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洒水车</w:t>
                  </w:r>
                </w:p>
              </w:tc>
              <w:tc>
                <w:tcPr>
                  <w:tcW w:w="2161" w:type="dxa"/>
                  <w:shd w:val="clear" w:color="auto" w:fill="auto"/>
                  <w:vAlign w:val="center"/>
                </w:tcPr>
                <w:p>
                  <w:pPr>
                    <w:pStyle w:val="34"/>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东风福瑞卡</w:t>
                  </w:r>
                </w:p>
              </w:tc>
              <w:tc>
                <w:tcPr>
                  <w:tcW w:w="70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辆</w:t>
                  </w:r>
                </w:p>
              </w:tc>
              <w:tc>
                <w:tcPr>
                  <w:tcW w:w="682" w:type="dxa"/>
                  <w:shd w:val="clear" w:color="auto" w:fill="auto"/>
                  <w:vAlign w:val="center"/>
                </w:tcPr>
                <w:p>
                  <w:pPr>
                    <w:pStyle w:val="34"/>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263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58"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15</w:t>
                  </w:r>
                </w:p>
              </w:tc>
              <w:tc>
                <w:tcPr>
                  <w:tcW w:w="1562" w:type="dxa"/>
                  <w:shd w:val="clear" w:color="auto" w:fill="auto"/>
                  <w:vAlign w:val="center"/>
                </w:tcPr>
                <w:p>
                  <w:pPr>
                    <w:pStyle w:val="34"/>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kern w:val="2"/>
                      <w:sz w:val="21"/>
                      <w:szCs w:val="21"/>
                      <w:vertAlign w:val="baseline"/>
                      <w:lang w:val="en-US" w:eastAsia="zh-CN" w:bidi="ar-SA"/>
                    </w:rPr>
                    <w:t>压滤器</w:t>
                  </w:r>
                </w:p>
              </w:tc>
              <w:tc>
                <w:tcPr>
                  <w:tcW w:w="2161" w:type="dxa"/>
                  <w:shd w:val="clear" w:color="auto" w:fill="auto"/>
                  <w:vAlign w:val="center"/>
                </w:tcPr>
                <w:p>
                  <w:pPr>
                    <w:pStyle w:val="34"/>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70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台</w:t>
                  </w:r>
                </w:p>
              </w:tc>
              <w:tc>
                <w:tcPr>
                  <w:tcW w:w="682" w:type="dxa"/>
                  <w:shd w:val="clear" w:color="auto" w:fill="auto"/>
                  <w:vAlign w:val="center"/>
                </w:tcPr>
                <w:p>
                  <w:pPr>
                    <w:pStyle w:val="34"/>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2632" w:type="dxa"/>
                  <w:shd w:val="clear" w:color="auto" w:fill="auto"/>
                  <w:vAlign w:val="center"/>
                </w:tcPr>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1"/>
                <w:sz w:val="24"/>
                <w:szCs w:val="24"/>
              </w:rPr>
            </w:pPr>
            <w:r>
              <w:rPr>
                <w:rFonts w:hint="eastAsia" w:ascii="Times New Roman" w:hAnsi="Times New Roman" w:eastAsia="宋体" w:cs="Times New Roman"/>
                <w:b/>
                <w:bCs/>
                <w:color w:val="auto"/>
                <w:kern w:val="21"/>
                <w:sz w:val="24"/>
                <w:szCs w:val="24"/>
                <w:lang w:val="en-US" w:eastAsia="zh-CN"/>
              </w:rPr>
              <w:t>6</w:t>
            </w:r>
            <w:r>
              <w:rPr>
                <w:rFonts w:hint="default" w:ascii="Times New Roman" w:hAnsi="Times New Roman" w:eastAsia="宋体" w:cs="Times New Roman"/>
                <w:b/>
                <w:bCs/>
                <w:color w:val="auto"/>
                <w:kern w:val="21"/>
                <w:sz w:val="24"/>
                <w:szCs w:val="24"/>
              </w:rPr>
              <w:t>、公用工程</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textAlignment w:val="auto"/>
              <w:rPr>
                <w:rFonts w:hint="default" w:ascii="Times New Roman" w:hAnsi="Times New Roman" w:eastAsia="宋体" w:cs="Times New Roman"/>
                <w:b/>
                <w:bCs w:val="0"/>
                <w:color w:val="auto"/>
                <w:kern w:val="21"/>
                <w:sz w:val="24"/>
                <w:szCs w:val="24"/>
              </w:rPr>
            </w:pPr>
            <w:r>
              <w:rPr>
                <w:rFonts w:hint="default" w:ascii="Times New Roman" w:hAnsi="Times New Roman" w:eastAsia="宋体" w:cs="Times New Roman"/>
                <w:b/>
                <w:bCs w:val="0"/>
                <w:color w:val="auto"/>
                <w:kern w:val="21"/>
                <w:sz w:val="24"/>
                <w:szCs w:val="24"/>
              </w:rPr>
              <w:t>（</w:t>
            </w:r>
            <w:r>
              <w:rPr>
                <w:rFonts w:hint="default" w:ascii="Times New Roman" w:hAnsi="Times New Roman" w:eastAsia="宋体" w:cs="Times New Roman"/>
                <w:b/>
                <w:bCs w:val="0"/>
                <w:color w:val="auto"/>
                <w:kern w:val="21"/>
                <w:sz w:val="24"/>
                <w:szCs w:val="24"/>
                <w:lang w:val="en-US" w:eastAsia="zh-CN"/>
              </w:rPr>
              <w:t>1</w:t>
            </w:r>
            <w:r>
              <w:rPr>
                <w:rFonts w:hint="default" w:ascii="Times New Roman" w:hAnsi="Times New Roman" w:eastAsia="宋体" w:cs="Times New Roman"/>
                <w:b/>
                <w:bCs w:val="0"/>
                <w:color w:val="auto"/>
                <w:kern w:val="21"/>
                <w:sz w:val="24"/>
                <w:szCs w:val="24"/>
              </w:rPr>
              <w:t>）供电</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val="en-US" w:eastAsia="zh-CN" w:bidi="zh-CN"/>
              </w:rPr>
              <w:t>当地电网接入项目附近配电室，配电室设置有1台变压器。</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1"/>
                <w:sz w:val="24"/>
                <w:szCs w:val="24"/>
                <w:lang w:val="en-US" w:eastAsia="zh-CN"/>
              </w:rPr>
            </w:pPr>
            <w:r>
              <w:rPr>
                <w:rFonts w:hint="default" w:ascii="Times New Roman" w:hAnsi="Times New Roman" w:eastAsia="宋体" w:cs="Times New Roman"/>
                <w:b/>
                <w:bCs w:val="0"/>
                <w:color w:val="auto"/>
                <w:kern w:val="21"/>
                <w:sz w:val="24"/>
                <w:szCs w:val="24"/>
              </w:rPr>
              <w:t>（</w:t>
            </w:r>
            <w:r>
              <w:rPr>
                <w:rFonts w:hint="default" w:ascii="Times New Roman" w:hAnsi="Times New Roman" w:eastAsia="宋体" w:cs="Times New Roman"/>
                <w:b/>
                <w:bCs w:val="0"/>
                <w:color w:val="auto"/>
                <w:kern w:val="21"/>
                <w:sz w:val="24"/>
                <w:szCs w:val="24"/>
                <w:lang w:val="en-US" w:eastAsia="zh-CN"/>
              </w:rPr>
              <w:t>2</w:t>
            </w:r>
            <w:r>
              <w:rPr>
                <w:rFonts w:hint="default" w:ascii="Times New Roman" w:hAnsi="Times New Roman" w:eastAsia="宋体" w:cs="Times New Roman"/>
                <w:b/>
                <w:bCs w:val="0"/>
                <w:color w:val="auto"/>
                <w:kern w:val="21"/>
                <w:sz w:val="24"/>
                <w:szCs w:val="24"/>
              </w:rPr>
              <w:t>）</w:t>
            </w:r>
            <w:r>
              <w:rPr>
                <w:rFonts w:hint="default" w:ascii="Times New Roman" w:hAnsi="Times New Roman" w:eastAsia="宋体" w:cs="Times New Roman"/>
                <w:b/>
                <w:bCs w:val="0"/>
                <w:color w:val="auto"/>
                <w:kern w:val="21"/>
                <w:sz w:val="24"/>
                <w:szCs w:val="24"/>
                <w:lang w:val="en-US" w:eastAsia="zh-CN"/>
              </w:rPr>
              <w:t>给排水</w:t>
            </w:r>
          </w:p>
          <w:p>
            <w:pPr>
              <w:spacing w:line="360" w:lineRule="auto"/>
              <w:ind w:firstLine="480" w:firstLineChars="200"/>
              <w:rPr>
                <w:rFonts w:hint="default" w:ascii="Times New Roman" w:hAnsi="Times New Roman" w:eastAsia="宋体" w:cs="Times New Roman"/>
                <w:bCs/>
                <w:color w:val="auto"/>
                <w:kern w:val="21"/>
                <w:sz w:val="24"/>
                <w:szCs w:val="24"/>
              </w:rPr>
            </w:pPr>
            <w:r>
              <w:rPr>
                <w:rFonts w:hint="default" w:ascii="Times New Roman" w:hAnsi="Times New Roman" w:eastAsia="宋体" w:cs="Times New Roman"/>
                <w:bCs/>
                <w:color w:val="auto"/>
                <w:kern w:val="21"/>
                <w:sz w:val="24"/>
                <w:szCs w:val="24"/>
              </w:rPr>
              <w:t>1）供水：</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项目区洒水降尘用水主要由场区收集的初期雨水回用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不足部分来源于自来水</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职工生活</w:t>
            </w:r>
            <w:r>
              <w:rPr>
                <w:rFonts w:hint="eastAsia" w:ascii="Times New Roman" w:hAnsi="Times New Roman" w:eastAsia="宋体" w:cs="Times New Roman"/>
                <w:color w:val="auto"/>
                <w:sz w:val="24"/>
                <w:szCs w:val="24"/>
                <w:lang w:val="en-US" w:eastAsia="zh-CN"/>
              </w:rPr>
              <w:t>用</w:t>
            </w:r>
            <w:r>
              <w:rPr>
                <w:rFonts w:hint="default" w:ascii="Times New Roman" w:hAnsi="Times New Roman" w:eastAsia="宋体" w:cs="Times New Roman"/>
                <w:color w:val="auto"/>
                <w:sz w:val="24"/>
                <w:szCs w:val="24"/>
              </w:rPr>
              <w:t>水</w:t>
            </w:r>
            <w:r>
              <w:rPr>
                <w:rFonts w:hint="eastAsia" w:ascii="Times New Roman" w:hAnsi="Times New Roman" w:eastAsia="宋体" w:cs="Times New Roman"/>
                <w:color w:val="auto"/>
                <w:sz w:val="24"/>
                <w:szCs w:val="24"/>
                <w:lang w:val="en-US" w:eastAsia="zh-CN"/>
              </w:rPr>
              <w:t>来源于周围村庄接入</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1"/>
                <w:sz w:val="24"/>
                <w:szCs w:val="24"/>
              </w:rPr>
            </w:pPr>
            <w:r>
              <w:rPr>
                <w:rFonts w:hint="default" w:ascii="Times New Roman" w:hAnsi="Times New Roman" w:eastAsia="宋体" w:cs="Times New Roman"/>
                <w:bCs/>
                <w:color w:val="auto"/>
                <w:kern w:val="21"/>
                <w:sz w:val="24"/>
                <w:szCs w:val="24"/>
              </w:rPr>
              <w:t>2）排水：</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项目初期雨水经排水沟收集后，进入初期雨水收集池沉淀处理回用于洒水降尘，不外排。</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项目生产中，破碎</w:t>
            </w:r>
            <w:r>
              <w:rPr>
                <w:rFonts w:hint="eastAsia" w:ascii="Times New Roman" w:hAnsi="Times New Roman" w:eastAsia="宋体" w:cs="Times New Roman"/>
                <w:color w:val="auto"/>
                <w:sz w:val="24"/>
                <w:highlight w:val="none"/>
                <w:lang w:val="en-US" w:eastAsia="zh-CN"/>
              </w:rPr>
              <w:t>、筛分</w:t>
            </w:r>
            <w:r>
              <w:rPr>
                <w:rFonts w:hint="default" w:ascii="Times New Roman" w:hAnsi="Times New Roman" w:eastAsia="宋体" w:cs="Times New Roman"/>
                <w:color w:val="auto"/>
                <w:sz w:val="24"/>
                <w:highlight w:val="none"/>
                <w:lang w:val="en-US" w:eastAsia="zh-CN"/>
              </w:rPr>
              <w:t>工序采取喷淋降尘，降尘用水全部</w:t>
            </w:r>
            <w:r>
              <w:rPr>
                <w:rFonts w:hint="eastAsia" w:ascii="Times New Roman" w:hAnsi="Times New Roman" w:eastAsia="宋体" w:cs="Times New Roman"/>
                <w:color w:val="auto"/>
                <w:sz w:val="24"/>
                <w:highlight w:val="none"/>
                <w:lang w:val="en-US" w:eastAsia="zh-CN"/>
              </w:rPr>
              <w:t>随物料带走</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洗砂废水循环使用，不外排。</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kern w:val="21"/>
                <w:sz w:val="24"/>
                <w:szCs w:val="24"/>
              </w:rPr>
            </w:pPr>
            <w:r>
              <w:rPr>
                <w:rFonts w:hint="eastAsia" w:ascii="Times New Roman" w:hAnsi="Times New Roman" w:eastAsia="宋体" w:cs="Times New Roman"/>
                <w:b w:val="0"/>
                <w:bCs w:val="0"/>
                <w:color w:val="auto"/>
                <w:sz w:val="24"/>
                <w:szCs w:val="24"/>
                <w:lang w:val="en-US" w:eastAsia="zh-CN"/>
              </w:rPr>
              <w:t>项目产生的厨房废水经油水分离器（≥0.3m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）隔油处理后连同生活清洗废水一并进入生活污水收集池（1m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），经收集池沉淀后用于厂区洒水降尘，不外排；项目配套设置旱厕（3m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），定期清掏用于项目周边农田施肥，不外排</w:t>
            </w:r>
            <w:r>
              <w:rPr>
                <w:rFonts w:hint="eastAsia" w:ascii="Times New Roman" w:hAnsi="Times New Roman" w:eastAsia="宋体" w:cs="Times New Roman"/>
                <w:color w:val="auto"/>
                <w:sz w:val="24"/>
                <w:szCs w:val="24"/>
                <w:highlight w:val="none"/>
                <w:lang w:val="en-US" w:eastAsia="zh-CN"/>
              </w:rPr>
              <w:t>。</w:t>
            </w:r>
          </w:p>
          <w:p>
            <w:pPr>
              <w:pStyle w:val="13"/>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kern w:val="21"/>
                <w:sz w:val="24"/>
                <w:szCs w:val="24"/>
                <w:lang w:val="en-US" w:eastAsia="zh-CN"/>
              </w:rPr>
            </w:pPr>
            <w:r>
              <w:rPr>
                <w:rFonts w:hint="default" w:ascii="Times New Roman" w:hAnsi="Times New Roman" w:eastAsia="宋体" w:cs="Times New Roman"/>
                <w:b/>
                <w:bCs w:val="0"/>
                <w:color w:val="auto"/>
                <w:kern w:val="21"/>
                <w:sz w:val="24"/>
                <w:szCs w:val="24"/>
                <w:lang w:val="en-US" w:eastAsia="zh-CN"/>
              </w:rPr>
              <w:t>（3）项目用水情况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sz w:val="24"/>
                <w:szCs w:val="24"/>
                <w:highlight w:val="none"/>
                <w:lang w:val="zh-CN" w:eastAsia="zh-CN"/>
              </w:rPr>
            </w:pPr>
            <w:r>
              <w:rPr>
                <w:rFonts w:hint="eastAsia" w:cs="Times New Roman"/>
                <w:color w:val="auto"/>
                <w:sz w:val="24"/>
                <w:szCs w:val="24"/>
                <w:highlight w:val="none"/>
                <w:lang w:val="zh-CN" w:eastAsia="zh-CN"/>
              </w:rPr>
              <w:t>项目用水主要为砂石料生产过程用水、砂石料生产过程中喷淋用水、</w:t>
            </w:r>
            <w:r>
              <w:rPr>
                <w:rFonts w:hint="default" w:ascii="Times New Roman" w:hAnsi="Times New Roman" w:eastAsia="宋体" w:cs="Times New Roman"/>
                <w:color w:val="auto"/>
                <w:sz w:val="24"/>
                <w:szCs w:val="24"/>
                <w:highlight w:val="none"/>
                <w:lang w:val="en-US" w:eastAsia="zh-CN"/>
              </w:rPr>
              <w:t>场地洒水降尘用水</w:t>
            </w:r>
            <w:r>
              <w:rPr>
                <w:rFonts w:hint="eastAsia" w:cs="Times New Roman"/>
                <w:color w:val="auto"/>
                <w:sz w:val="24"/>
                <w:szCs w:val="24"/>
                <w:highlight w:val="none"/>
                <w:lang w:val="zh-CN" w:eastAsia="zh-CN"/>
              </w:rPr>
              <w:t>及生活用水。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洗砂</w:t>
            </w:r>
            <w:r>
              <w:rPr>
                <w:rFonts w:hint="default" w:ascii="Times New Roman" w:hAnsi="Times New Roman" w:eastAsia="宋体" w:cs="Times New Roman"/>
                <w:bCs/>
                <w:color w:val="auto"/>
                <w:sz w:val="24"/>
                <w:szCs w:val="24"/>
                <w:highlight w:val="none"/>
                <w:lang w:eastAsia="zh-CN"/>
              </w:rPr>
              <w:t>用水</w:t>
            </w:r>
          </w:p>
          <w:p>
            <w:pPr>
              <w:spacing w:line="360" w:lineRule="auto"/>
              <w:ind w:firstLine="480"/>
              <w:rPr>
                <w:rFonts w:hint="eastAsia" w:ascii="Times New Roman" w:hAnsi="Times New Roman" w:cs="Times New Roman" w:eastAsiaTheme="minorEastAsia"/>
                <w:sz w:val="24"/>
                <w:lang w:eastAsia="zh-CN"/>
              </w:rPr>
            </w:pPr>
            <w:r>
              <w:rPr>
                <w:rFonts w:hint="default" w:ascii="Times New Roman" w:hAnsi="Times New Roman" w:cs="Times New Roman"/>
                <w:sz w:val="24"/>
              </w:rPr>
              <w:t>根据《排放源统计调查产排污核算方法和系数手册》（公告2021年第24号）中“</w:t>
            </w:r>
            <w:r>
              <w:rPr>
                <w:rFonts w:hint="default" w:ascii="Times New Roman" w:hAnsi="Times New Roman" w:eastAsia="宋体" w:cs="Times New Roman"/>
                <w:sz w:val="24"/>
                <w:szCs w:val="24"/>
              </w:rPr>
              <w:t>303砖瓦、石材等建筑材料制造行业系数手册</w:t>
            </w:r>
            <w:r>
              <w:rPr>
                <w:rFonts w:hint="default" w:ascii="Times New Roman" w:hAnsi="Times New Roman" w:cs="Times New Roman"/>
                <w:sz w:val="24"/>
              </w:rPr>
              <w:t>”中</w:t>
            </w:r>
            <w:r>
              <w:rPr>
                <w:rFonts w:hint="default" w:ascii="Times New Roman" w:hAnsi="Times New Roman" w:eastAsia="宋体" w:cs="Times New Roman"/>
                <w:sz w:val="24"/>
                <w:szCs w:val="24"/>
              </w:rPr>
              <w:t>3039其他建筑材料制造行业</w:t>
            </w:r>
            <w:r>
              <w:rPr>
                <w:rFonts w:hint="default" w:ascii="Times New Roman" w:hAnsi="Times New Roman" w:eastAsia="宋体" w:cs="Times New Roman"/>
                <w:sz w:val="24"/>
                <w:lang w:val="en-US" w:eastAsia="zh-CN"/>
              </w:rPr>
              <w:t>砂石骨料</w:t>
            </w:r>
            <w:r>
              <w:rPr>
                <w:rFonts w:hint="eastAsia" w:ascii="Times New Roman" w:hAnsi="Times New Roman" w:eastAsia="宋体" w:cs="Times New Roman"/>
                <w:sz w:val="24"/>
                <w:lang w:val="en-US" w:eastAsia="zh-CN"/>
              </w:rPr>
              <w:t>水洗</w:t>
            </w:r>
            <w:r>
              <w:rPr>
                <w:rFonts w:hint="default" w:ascii="Times New Roman" w:hAnsi="Times New Roman" w:cs="Times New Roman"/>
                <w:sz w:val="24"/>
              </w:rPr>
              <w:t>产污系数，计算本项目破碎筛分工段产生的污染源强，产排污系数见下表</w:t>
            </w:r>
            <w:r>
              <w:rPr>
                <w:rFonts w:hint="eastAsia" w:ascii="Times New Roman" w:hAnsi="Times New Roman" w:cs="Times New Roman"/>
                <w:sz w:val="24"/>
                <w:lang w:val="en-US" w:eastAsia="zh-CN"/>
              </w:rPr>
              <w:t>2</w:t>
            </w:r>
            <w:r>
              <w:rPr>
                <w:rFonts w:hint="default" w:ascii="Times New Roman" w:hAnsi="Times New Roman" w:cs="Times New Roman"/>
                <w:sz w:val="24"/>
              </w:rPr>
              <w:t>-</w:t>
            </w:r>
            <w:r>
              <w:rPr>
                <w:rFonts w:hint="eastAsia" w:ascii="Times New Roman" w:hAnsi="Times New Roman" w:cs="Times New Roman"/>
                <w:sz w:val="24"/>
                <w:lang w:val="en-US" w:eastAsia="zh-CN"/>
              </w:rPr>
              <w:t>5</w:t>
            </w:r>
            <w:r>
              <w:rPr>
                <w:rFonts w:hint="default" w:ascii="Times New Roman" w:hAnsi="Times New Roman" w:cs="Times New Roman"/>
                <w:sz w:val="24"/>
              </w:rPr>
              <w:t>。</w:t>
            </w:r>
          </w:p>
          <w:p>
            <w:pPr>
              <w:pStyle w:val="91"/>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2-5水洗</w:t>
            </w:r>
            <w:r>
              <w:rPr>
                <w:rFonts w:hint="default" w:ascii="Times New Roman" w:hAnsi="Times New Roman" w:cs="Times New Roman"/>
                <w:sz w:val="21"/>
                <w:szCs w:val="21"/>
              </w:rPr>
              <w:t>产污系数</w:t>
            </w:r>
          </w:p>
          <w:tbl>
            <w:tblPr>
              <w:tblStyle w:val="26"/>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02"/>
              <w:gridCol w:w="786"/>
              <w:gridCol w:w="786"/>
              <w:gridCol w:w="905"/>
              <w:gridCol w:w="857"/>
              <w:gridCol w:w="85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8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产品名称</w:t>
                  </w:r>
                </w:p>
              </w:tc>
              <w:tc>
                <w:tcPr>
                  <w:tcW w:w="2302"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原料名称</w:t>
                  </w:r>
                </w:p>
              </w:tc>
              <w:tc>
                <w:tcPr>
                  <w:tcW w:w="786"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工艺名称</w:t>
                  </w:r>
                </w:p>
              </w:tc>
              <w:tc>
                <w:tcPr>
                  <w:tcW w:w="786"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规模等级</w:t>
                  </w:r>
                </w:p>
              </w:tc>
              <w:tc>
                <w:tcPr>
                  <w:tcW w:w="90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污染物指标</w:t>
                  </w:r>
                </w:p>
              </w:tc>
              <w:tc>
                <w:tcPr>
                  <w:tcW w:w="857"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单位</w:t>
                  </w:r>
                </w:p>
              </w:tc>
              <w:tc>
                <w:tcPr>
                  <w:tcW w:w="854"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产污系数</w:t>
                  </w:r>
                </w:p>
              </w:tc>
              <w:tc>
                <w:tcPr>
                  <w:tcW w:w="1327"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sz w:val="21"/>
                      <w:szCs w:val="21"/>
                    </w:rPr>
                    <w:t>末端治理技术名称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785"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砂石骨料</w:t>
                  </w:r>
                </w:p>
              </w:tc>
              <w:tc>
                <w:tcPr>
                  <w:tcW w:w="2302"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岩石矿石、建筑固体废弃物、尾矿</w:t>
                  </w:r>
                  <w:r>
                    <w:rPr>
                      <w:rFonts w:hint="default" w:ascii="Times New Roman" w:hAnsi="Times New Roman" w:cs="Times New Roman"/>
                      <w:sz w:val="21"/>
                      <w:szCs w:val="21"/>
                      <w:lang w:val="en-US" w:eastAsia="zh-CN"/>
                    </w:rPr>
                    <w:t>等</w:t>
                  </w:r>
                </w:p>
              </w:tc>
              <w:tc>
                <w:tcPr>
                  <w:tcW w:w="786"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水洗</w:t>
                  </w:r>
                </w:p>
              </w:tc>
              <w:tc>
                <w:tcPr>
                  <w:tcW w:w="786"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所有</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规模</w:t>
                  </w:r>
                </w:p>
              </w:tc>
              <w:tc>
                <w:tcPr>
                  <w:tcW w:w="905"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废水</w:t>
                  </w:r>
                </w:p>
              </w:tc>
              <w:tc>
                <w:tcPr>
                  <w:tcW w:w="857"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吨</w:t>
                  </w:r>
                  <w:r>
                    <w:rPr>
                      <w:rFonts w:hint="default" w:ascii="Times New Roman" w:hAnsi="Times New Roman" w:cs="Times New Roman"/>
                      <w:sz w:val="21"/>
                      <w:szCs w:val="21"/>
                    </w:rPr>
                    <w:t>/吨-产品</w:t>
                  </w:r>
                </w:p>
              </w:tc>
              <w:tc>
                <w:tcPr>
                  <w:tcW w:w="854"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0.14</w:t>
                  </w:r>
                </w:p>
              </w:tc>
              <w:tc>
                <w:tcPr>
                  <w:tcW w:w="1327" w:type="dxa"/>
                  <w:vAlign w:val="center"/>
                </w:tcPr>
                <w:p>
                  <w:pPr>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沉淀分离+循环利用</w:t>
                  </w:r>
                </w:p>
              </w:tc>
            </w:tr>
          </w:tbl>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color w:val="auto"/>
                <w:sz w:val="24"/>
                <w:highlight w:val="none"/>
                <w:lang w:val="en-US" w:eastAsia="zh-CN"/>
              </w:rPr>
            </w:pPr>
            <w:r>
              <w:rPr>
                <w:rFonts w:hint="eastAsia" w:cs="Times New Roman"/>
                <w:color w:val="auto"/>
                <w:sz w:val="24"/>
                <w:szCs w:val="24"/>
                <w:highlight w:val="none"/>
                <w:lang w:val="zh-CN" w:eastAsia="zh-CN"/>
              </w:rPr>
              <w:t>项目</w:t>
            </w:r>
            <w:r>
              <w:rPr>
                <w:rFonts w:hint="eastAsia" w:cs="Times New Roman"/>
                <w:color w:val="auto"/>
                <w:sz w:val="24"/>
                <w:szCs w:val="24"/>
                <w:highlight w:val="none"/>
                <w:lang w:val="en-US" w:eastAsia="zh-CN"/>
              </w:rPr>
              <w:t>水洗</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量为40000t/a，则废水量产生量为</w:t>
            </w:r>
            <w:r>
              <w:rPr>
                <w:rFonts w:hint="eastAsia" w:ascii="Times New Roman" w:hAnsi="Times New Roman" w:eastAsia="宋体" w:cs="Times New Roman"/>
                <w:bCs/>
                <w:color w:val="auto"/>
                <w:sz w:val="24"/>
                <w:highlight w:val="none"/>
                <w:lang w:val="en-US" w:eastAsia="zh-CN"/>
              </w:rPr>
              <w:t>5600</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根据0.85的产污系数得出用水量为6588.24</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22</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/d，清洗废水进入沉淀池后通过三级经沉淀处理后回用于项目生产，则循环水量为5600m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/a，18.67m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/d；补充水量为：988.24m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/a，3.29m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洗砂沉淀池渣由压滤器压滤后并入废土内，运至弃渣场。</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砂石料生产过程中</w:t>
            </w:r>
            <w:r>
              <w:rPr>
                <w:rFonts w:hint="eastAsia" w:ascii="Times New Roman" w:hAnsi="Times New Roman" w:eastAsia="宋体" w:cs="Times New Roman"/>
                <w:color w:val="auto"/>
                <w:sz w:val="24"/>
                <w:szCs w:val="24"/>
                <w:highlight w:val="none"/>
                <w:lang w:val="en-US" w:eastAsia="zh-CN"/>
              </w:rPr>
              <w:t>喷淋</w:t>
            </w:r>
            <w:r>
              <w:rPr>
                <w:rFonts w:hint="default" w:ascii="Times New Roman" w:hAnsi="Times New Roman" w:eastAsia="宋体" w:cs="Times New Roman"/>
                <w:color w:val="auto"/>
                <w:sz w:val="24"/>
                <w:szCs w:val="24"/>
                <w:highlight w:val="none"/>
                <w:lang w:val="en-US" w:eastAsia="zh-CN"/>
              </w:rPr>
              <w:t>用水</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项目生产过程中设置喷淋管道，</w:t>
            </w:r>
            <w:r>
              <w:rPr>
                <w:rFonts w:hint="eastAsia" w:ascii="Times New Roman" w:hAnsi="Times New Roman" w:eastAsia="宋体" w:cs="Times New Roman"/>
                <w:bCs/>
                <w:color w:val="auto"/>
                <w:sz w:val="24"/>
                <w:szCs w:val="24"/>
                <w:highlight w:val="none"/>
                <w:lang w:val="en-US" w:eastAsia="zh-CN"/>
              </w:rPr>
              <w:t>每个喷头喷雾面积约45.34m</w:t>
            </w:r>
            <w:r>
              <w:rPr>
                <w:rFonts w:hint="eastAsia" w:ascii="Times New Roman" w:hAnsi="Times New Roman" w:eastAsia="宋体" w:cs="Times New Roman"/>
                <w:bCs/>
                <w:color w:val="auto"/>
                <w:sz w:val="24"/>
                <w:szCs w:val="24"/>
                <w:highlight w:val="none"/>
                <w:vertAlign w:val="superscript"/>
                <w:lang w:val="en-US" w:eastAsia="zh-CN"/>
              </w:rPr>
              <w:t>2</w:t>
            </w:r>
            <w:r>
              <w:rPr>
                <w:rFonts w:hint="eastAsia" w:ascii="Times New Roman" w:hAnsi="Times New Roman" w:eastAsia="宋体" w:cs="Times New Roman"/>
                <w:bCs/>
                <w:color w:val="auto"/>
                <w:sz w:val="24"/>
                <w:szCs w:val="24"/>
                <w:highlight w:val="none"/>
                <w:lang w:val="en-US" w:eastAsia="zh-CN"/>
              </w:rPr>
              <w:t>，生产车间面积为625</w:t>
            </w:r>
            <w:r>
              <w:rPr>
                <w:rFonts w:hint="default" w:ascii="宋体" w:cs="Times New Roman"/>
                <w:color w:val="auto"/>
                <w:sz w:val="24"/>
                <w:szCs w:val="24"/>
                <w:lang w:val="en-US" w:eastAsia="zh-CN"/>
              </w:rPr>
              <w:t>m</w:t>
            </w:r>
            <w:r>
              <w:rPr>
                <w:rFonts w:hint="eastAsia" w:ascii="宋体" w:cs="Times New Roman"/>
                <w:color w:val="auto"/>
                <w:sz w:val="24"/>
                <w:szCs w:val="24"/>
                <w:vertAlign w:val="superscript"/>
                <w:lang w:val="en-US" w:eastAsia="zh-CN"/>
              </w:rPr>
              <w:t>2</w:t>
            </w:r>
            <w:r>
              <w:rPr>
                <w:rFonts w:hint="eastAsia" w:ascii="宋体" w:cs="Times New Roman"/>
                <w:color w:val="auto"/>
                <w:sz w:val="24"/>
                <w:szCs w:val="24"/>
                <w:vertAlign w:val="baseline"/>
                <w:lang w:val="en-US" w:eastAsia="zh-CN"/>
              </w:rPr>
              <w:t>，</w:t>
            </w:r>
            <w:r>
              <w:rPr>
                <w:rFonts w:hint="default" w:ascii="Times New Roman" w:hAnsi="Times New Roman" w:eastAsia="宋体" w:cs="Times New Roman"/>
                <w:bCs/>
                <w:color w:val="auto"/>
                <w:sz w:val="24"/>
                <w:szCs w:val="24"/>
                <w:highlight w:val="none"/>
                <w:lang w:eastAsia="zh-CN"/>
              </w:rPr>
              <w:t>共设置约</w:t>
            </w:r>
            <w:r>
              <w:rPr>
                <w:rFonts w:hint="eastAsia" w:ascii="Times New Roman" w:hAnsi="Times New Roman" w:eastAsia="宋体" w:cs="Times New Roman"/>
                <w:bCs/>
                <w:color w:val="auto"/>
                <w:sz w:val="24"/>
                <w:szCs w:val="24"/>
                <w:highlight w:val="none"/>
                <w:lang w:val="en-US" w:eastAsia="zh-CN"/>
              </w:rPr>
              <w:t>14</w:t>
            </w:r>
            <w:r>
              <w:rPr>
                <w:rFonts w:hint="default" w:ascii="Times New Roman" w:hAnsi="Times New Roman" w:eastAsia="宋体" w:cs="Times New Roman"/>
                <w:bCs/>
                <w:color w:val="auto"/>
                <w:sz w:val="24"/>
                <w:szCs w:val="24"/>
                <w:highlight w:val="none"/>
                <w:lang w:eastAsia="zh-CN"/>
              </w:rPr>
              <w:t>个喷头，每个喷头的流量约为60L/h。根据建设方提供资料，项目每天喷淋时间约为</w:t>
            </w:r>
            <w:r>
              <w:rPr>
                <w:rFonts w:hint="eastAsia" w:ascii="Times New Roman" w:hAnsi="Times New Roman" w:eastAsia="宋体" w:cs="Times New Roman"/>
                <w:bCs/>
                <w:color w:val="auto"/>
                <w:sz w:val="24"/>
                <w:szCs w:val="24"/>
                <w:highlight w:val="none"/>
                <w:lang w:val="en-US" w:eastAsia="zh-CN"/>
              </w:rPr>
              <w:t>10</w:t>
            </w:r>
            <w:r>
              <w:rPr>
                <w:rFonts w:hint="default" w:ascii="Times New Roman" w:hAnsi="Times New Roman" w:eastAsia="宋体" w:cs="Times New Roman"/>
                <w:bCs/>
                <w:color w:val="auto"/>
                <w:sz w:val="24"/>
                <w:szCs w:val="24"/>
                <w:highlight w:val="none"/>
                <w:lang w:eastAsia="zh-CN"/>
              </w:rPr>
              <w:t>小时，因此项目喷淋系统用水约为</w:t>
            </w:r>
            <w:r>
              <w:rPr>
                <w:rFonts w:hint="eastAsia" w:ascii="Times New Roman" w:hAnsi="Times New Roman" w:eastAsia="宋体" w:cs="Times New Roman"/>
                <w:bCs/>
                <w:color w:val="auto"/>
                <w:sz w:val="24"/>
                <w:szCs w:val="24"/>
                <w:highlight w:val="none"/>
                <w:lang w:val="en-US" w:eastAsia="zh-CN"/>
              </w:rPr>
              <w:t>8.4</w:t>
            </w:r>
            <w:r>
              <w:rPr>
                <w:rFonts w:hint="default" w:ascii="Times New Roman" w:hAnsi="Times New Roman" w:eastAsia="宋体" w:cs="Times New Roman"/>
                <w:bCs/>
                <w:color w:val="auto"/>
                <w:sz w:val="24"/>
                <w:szCs w:val="24"/>
                <w:highlight w:val="none"/>
                <w:lang w:eastAsia="zh-CN"/>
              </w:rPr>
              <w:t>m</w:t>
            </w:r>
            <w:r>
              <w:rPr>
                <w:rFonts w:hint="default" w:ascii="Times New Roman" w:hAnsi="Times New Roman" w:eastAsia="宋体" w:cs="Times New Roman"/>
                <w:bCs/>
                <w:color w:val="auto"/>
                <w:sz w:val="24"/>
                <w:szCs w:val="24"/>
                <w:highlight w:val="none"/>
                <w:vertAlign w:val="superscript"/>
                <w:lang w:eastAsia="zh-CN"/>
              </w:rPr>
              <w:t>3</w:t>
            </w:r>
            <w:r>
              <w:rPr>
                <w:rFonts w:hint="default" w:ascii="Times New Roman" w:hAnsi="Times New Roman" w:eastAsia="宋体" w:cs="Times New Roman"/>
                <w:bCs/>
                <w:color w:val="auto"/>
                <w:sz w:val="24"/>
                <w:szCs w:val="24"/>
                <w:highlight w:val="none"/>
                <w:lang w:eastAsia="zh-CN"/>
              </w:rPr>
              <w:t>/d，</w:t>
            </w:r>
            <w:r>
              <w:rPr>
                <w:rFonts w:hint="eastAsia" w:ascii="Times New Roman" w:hAnsi="Times New Roman" w:eastAsia="宋体" w:cs="Times New Roman"/>
                <w:bCs/>
                <w:color w:val="auto"/>
                <w:sz w:val="24"/>
                <w:szCs w:val="24"/>
                <w:highlight w:val="none"/>
                <w:lang w:val="en-US" w:eastAsia="zh-CN"/>
              </w:rPr>
              <w:t>2520</w:t>
            </w:r>
            <w:r>
              <w:rPr>
                <w:rFonts w:hint="default" w:ascii="Times New Roman" w:hAnsi="Times New Roman" w:eastAsia="宋体" w:cs="Times New Roman"/>
                <w:bCs/>
                <w:color w:val="auto"/>
                <w:sz w:val="24"/>
                <w:szCs w:val="24"/>
                <w:highlight w:val="none"/>
                <w:lang w:eastAsia="zh-CN"/>
              </w:rPr>
              <w:t>m</w:t>
            </w:r>
            <w:r>
              <w:rPr>
                <w:rFonts w:hint="default" w:ascii="Times New Roman" w:hAnsi="Times New Roman" w:eastAsia="宋体" w:cs="Times New Roman"/>
                <w:bCs/>
                <w:color w:val="auto"/>
                <w:sz w:val="24"/>
                <w:szCs w:val="24"/>
                <w:highlight w:val="none"/>
                <w:vertAlign w:val="superscript"/>
                <w:lang w:eastAsia="zh-CN"/>
              </w:rPr>
              <w:t>3</w:t>
            </w:r>
            <w:r>
              <w:rPr>
                <w:rFonts w:hint="default" w:ascii="Times New Roman" w:hAnsi="Times New Roman" w:eastAsia="宋体" w:cs="Times New Roman"/>
                <w:bCs/>
                <w:color w:val="auto"/>
                <w:sz w:val="24"/>
                <w:szCs w:val="24"/>
                <w:highlight w:val="none"/>
                <w:lang w:eastAsia="zh-CN"/>
              </w:rPr>
              <w:t>/a。项目喷淋用水为喷雾式降尘，全部损耗，无生产废水产生。</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项目原料堆棚</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设置喷淋管道洒水降</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尘</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每个喷头喷雾面积约</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136.78</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原料堆棚</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面积为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625</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共设置约</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个喷头，每个喷头的流量约为</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80</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L/h，根据建设方提供资料，项目每天喷淋时间约为</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小时，因此项目喷淋系统用水约为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/d，</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360</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/a。项目喷淋用水为喷雾式降尘，全部损耗，无生产废水产生。</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项目成品暂存于堆棚内，堆棚除出入口均封闭，项目在堆棚出入口设置喷淋洒水设施降尘，共设置有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eastAsia" w:cs="Times New Roman"/>
                <w:color w:val="000000" w:themeColor="text1"/>
                <w:sz w:val="24"/>
                <w:szCs w:val="24"/>
                <w:highlight w:val="none"/>
                <w:lang w:val="en-US" w:eastAsia="zh-CN"/>
                <w14:textFill>
                  <w14:solidFill>
                    <w14:schemeClr w14:val="tx1"/>
                  </w14:solidFill>
                </w14:textFill>
              </w:rPr>
              <w:t>个喷头，</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每个喷头的流量约为60L/h。根据建设方提供资料，项目每天喷淋时间约为</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8</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小时，因此项目喷淋系统用水约为</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1.92</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/d，</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576</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/a。项目喷淋用水为喷雾式降尘，全部损耗，无生产废水产生。</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则喷淋用水总共为11.52</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/d，</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3456</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m</w:t>
            </w:r>
            <w:r>
              <w:rPr>
                <w:rFonts w:hint="eastAsia" w:ascii="Times New Roman" w:hAnsi="Times New Roman" w:eastAsia="宋体" w:cs="Times New Roman"/>
                <w:bCs/>
                <w:color w:val="000000" w:themeColor="text1"/>
                <w:sz w:val="24"/>
                <w:highlight w:val="none"/>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/a。</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zh-CN"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场地洒水降尘用水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项目区洒水降尘区域主要包括道路等露天易产尘的地方，洒水降尘采用</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洒水车</w:t>
            </w:r>
            <w:r>
              <w:rPr>
                <w:rStyle w:val="32"/>
                <w:rFonts w:hint="default" w:ascii="Times New Roman" w:hAnsi="Times New Roman" w:cs="Times New Roman"/>
                <w:color w:val="000000" w:themeColor="text1"/>
                <w:kern w:val="0"/>
                <w:sz w:val="24"/>
                <w:szCs w:val="24"/>
                <w14:textFill>
                  <w14:solidFill>
                    <w14:schemeClr w14:val="tx1"/>
                  </w14:solidFill>
                </w14:textFill>
              </w:rPr>
              <w:t>洒水</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，根据建设方提供资料，项目每天降尘时间约为2次，早晚各一次，每次每m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取0.5L，每天洒水两次，需降尘的总面积大约为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000m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，旱季降尘洒水用水量为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/d。项目运营期212天为旱季，因此，降尘洒水用水量为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424</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/a，全部挥发</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洒水降尘用水优先来源于初期雨水收集池，不足部分来源于供水管网，</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全部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蒸发</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损耗，无废水产生。</w:t>
            </w:r>
          </w:p>
          <w:p>
            <w:pPr>
              <w:keepNext w:val="0"/>
              <w:keepLines w:val="0"/>
              <w:pageBreakBefore w:val="0"/>
              <w:widowControl w:val="0"/>
              <w:tabs>
                <w:tab w:val="left" w:pos="79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b/>
                <w:color w:val="000000" w:themeColor="text1"/>
                <w:sz w:val="24"/>
                <w14:textFill>
                  <w14:solidFill>
                    <w14:schemeClr w14:val="tx1"/>
                  </w14:solidFill>
                </w14:textFill>
              </w:rPr>
              <w:t>初期雨水</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运营期物料装卸、运输及生产等过程中会有少量扬尘沉降到地面，下雨天被雨水冲刷后进入雨水收集沟，与项目区外的雨水混合，进入周边沟渠，最终会对项目附近地表水体产生一定影响。</w:t>
            </w:r>
            <w:r>
              <w:rPr>
                <w:rFonts w:hint="eastAsia"/>
                <w:color w:val="000000" w:themeColor="text1"/>
                <w:kern w:val="0"/>
                <w:sz w:val="24"/>
                <w14:textFill>
                  <w14:solidFill>
                    <w14:schemeClr w14:val="tx1"/>
                  </w14:solidFill>
                </w14:textFill>
              </w:rPr>
              <w:t>本次</w:t>
            </w:r>
            <w:r>
              <w:rPr>
                <w:color w:val="000000" w:themeColor="text1"/>
                <w:kern w:val="0"/>
                <w:sz w:val="24"/>
                <w14:textFill>
                  <w14:solidFill>
                    <w14:schemeClr w14:val="tx1"/>
                  </w14:solidFill>
                </w14:textFill>
              </w:rPr>
              <w:t>环评</w:t>
            </w:r>
            <w:r>
              <w:rPr>
                <w:rFonts w:hint="eastAsia"/>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项目雨季对厂区</w:t>
            </w:r>
            <w:r>
              <w:rPr>
                <w:color w:val="000000" w:themeColor="text1"/>
                <w:sz w:val="24"/>
                <w14:textFill>
                  <w14:solidFill>
                    <w14:schemeClr w14:val="tx1"/>
                  </w14:solidFill>
                </w14:textFill>
              </w:rPr>
              <w:t>道路区等露天场地产生的</w:t>
            </w:r>
            <w:r>
              <w:rPr>
                <w:color w:val="000000" w:themeColor="text1"/>
                <w:kern w:val="0"/>
                <w:sz w:val="24"/>
                <w14:textFill>
                  <w14:solidFill>
                    <w14:schemeClr w14:val="tx1"/>
                  </w14:solidFill>
                </w14:textFill>
              </w:rPr>
              <w:t>初期雨水进行收集处理后</w:t>
            </w:r>
            <w:r>
              <w:rPr>
                <w:snapToGrid w:val="0"/>
                <w:color w:val="000000" w:themeColor="text1"/>
                <w:kern w:val="0"/>
                <w:sz w:val="24"/>
                <w14:textFill>
                  <w14:solidFill>
                    <w14:schemeClr w14:val="tx1"/>
                  </w14:solidFill>
                </w14:textFill>
              </w:rPr>
              <w:t>回用于洒水降尘。</w:t>
            </w:r>
            <w:r>
              <w:rPr>
                <w:color w:val="000000" w:themeColor="text1"/>
                <w:kern w:val="0"/>
                <w:sz w:val="24"/>
                <w14:textFill>
                  <w14:solidFill>
                    <w14:schemeClr w14:val="tx1"/>
                  </w14:solidFill>
                </w14:textFill>
              </w:rPr>
              <w:t>本项目</w:t>
            </w:r>
            <w:r>
              <w:rPr>
                <w:rFonts w:hint="eastAsia"/>
                <w:color w:val="000000" w:themeColor="text1"/>
                <w:kern w:val="0"/>
                <w:sz w:val="24"/>
                <w14:textFill>
                  <w14:solidFill>
                    <w14:schemeClr w14:val="tx1"/>
                  </w14:solidFill>
                </w14:textFill>
              </w:rPr>
              <w:t>区域</w:t>
            </w:r>
            <w:r>
              <w:rPr>
                <w:color w:val="000000" w:themeColor="text1"/>
                <w:kern w:val="0"/>
                <w:sz w:val="24"/>
                <w14:textFill>
                  <w14:solidFill>
                    <w14:schemeClr w14:val="tx1"/>
                  </w14:solidFill>
                </w14:textFill>
              </w:rPr>
              <w:t>露天面积</w:t>
            </w:r>
            <w:r>
              <w:rPr>
                <w:rFonts w:hint="eastAsia"/>
                <w:color w:val="000000" w:themeColor="text1"/>
                <w:kern w:val="0"/>
                <w:sz w:val="24"/>
                <w14:textFill>
                  <w14:solidFill>
                    <w14:schemeClr w14:val="tx1"/>
                  </w14:solidFill>
                </w14:textFill>
              </w:rPr>
              <w:t>约</w:t>
            </w:r>
            <w:r>
              <w:rPr>
                <w:color w:val="000000" w:themeColor="text1"/>
                <w:kern w:val="0"/>
                <w:sz w:val="24"/>
                <w14:textFill>
                  <w14:solidFill>
                    <w14:schemeClr w14:val="tx1"/>
                  </w14:solidFill>
                </w14:textFill>
              </w:rPr>
              <w:t>为</w:t>
            </w:r>
            <w:r>
              <w:rPr>
                <w:rFonts w:hint="default" w:ascii="Times New Roman" w:hAnsi="Times New Roman" w:cs="Times New Roman"/>
                <w:color w:val="000000" w:themeColor="text1"/>
                <w:kern w:val="0"/>
                <w:sz w:val="24"/>
                <w:lang w:val="en-US" w:eastAsia="zh-CN"/>
                <w14:textFill>
                  <w14:solidFill>
                    <w14:schemeClr w14:val="tx1"/>
                  </w14:solidFill>
                </w14:textFill>
              </w:rPr>
              <w:t>2000</w:t>
            </w:r>
            <w:r>
              <w:rPr>
                <w:rFonts w:hint="default" w:ascii="Times New Roman" w:hAnsi="Times New Roman" w:cs="Times New Roman"/>
                <w:color w:val="000000" w:themeColor="text1"/>
                <w:sz w:val="24"/>
                <w14:textFill>
                  <w14:solidFill>
                    <w14:schemeClr w14:val="tx1"/>
                  </w14:solidFill>
                </w14:textFill>
              </w:rPr>
              <w:t>m²</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项目运营期初期雨水产生量按下式进行计算：</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Q=qF</w:t>
            </w: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其中：Q——初期雨水排放量；</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F——汇水面积</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，项目生产区裸露面积</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000m²；</w:t>
            </w:r>
          </w:p>
          <w:p>
            <w:pPr>
              <w:widowControl/>
              <w:spacing w:line="360" w:lineRule="auto"/>
              <w:ind w:firstLine="482"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——为径流系数</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0.4-0.9，根据排水设计规范，本项目取0.6</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T——为收水时间，一般取15分钟；</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q——暴雨强度</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lang w:val="en-US" w:eastAsia="zh-CN"/>
                <w14:textFill>
                  <w14:solidFill>
                    <w14:schemeClr w14:val="tx1"/>
                  </w14:solidFill>
                </w14:textFill>
              </w:rPr>
              <w:t>根据大理州暴雨强度公式</w:t>
            </w:r>
            <w:r>
              <w:rPr>
                <w:rFonts w:hint="default" w:ascii="Times New Roman" w:hAnsi="Times New Roman" w:cs="Times New Roman"/>
                <w:color w:val="000000" w:themeColor="text1"/>
                <w:sz w:val="24"/>
                <w14:textFill>
                  <w14:solidFill>
                    <w14:schemeClr w14:val="tx1"/>
                  </w14:solidFill>
                </w14:textFill>
              </w:rPr>
              <w:t>q=1534</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1+1.035gP</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t+9.86</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vertAlign w:val="superscript"/>
                <w14:textFill>
                  <w14:solidFill>
                    <w14:schemeClr w14:val="tx1"/>
                  </w14:solidFill>
                </w14:textFill>
              </w:rPr>
              <w:t>0.762</w:t>
            </w:r>
            <w:r>
              <w:rPr>
                <w:rFonts w:hint="default" w:ascii="Times New Roman" w:hAnsi="Times New Roman" w:cs="Times New Roman"/>
                <w:color w:val="000000" w:themeColor="text1"/>
                <w:sz w:val="24"/>
                <w14:textFill>
                  <w14:solidFill>
                    <w14:schemeClr w14:val="tx1"/>
                  </w14:solidFill>
                </w14:textFill>
              </w:rPr>
              <w:t>，其中，P为重现期（此次取1年），t为降雨历时（取15分钟），则计算得暴雨强度q为132.57升/秒·公顷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both"/>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按照上述公式计算，可以估算出项目的雨水流量为</w:t>
            </w:r>
            <w:r>
              <w:rPr>
                <w:rFonts w:hint="default" w:ascii="Times New Roman" w:hAnsi="Times New Roman" w:cs="Times New Roman"/>
                <w:color w:val="000000" w:themeColor="text1"/>
                <w:kern w:val="0"/>
                <w:sz w:val="24"/>
                <w:lang w:val="en-US" w:eastAsia="zh-CN"/>
                <w14:textFill>
                  <w14:solidFill>
                    <w14:schemeClr w14:val="tx1"/>
                  </w14:solidFill>
                </w14:textFill>
              </w:rPr>
              <w:t>57.27</w:t>
            </w:r>
            <w:r>
              <w:rPr>
                <w:rFonts w:hint="default" w:ascii="Times New Roman" w:hAnsi="Times New Roman" w:cs="Times New Roman"/>
                <w:color w:val="000000" w:themeColor="text1"/>
                <w:kern w:val="0"/>
                <w:sz w:val="24"/>
                <w14:textFill>
                  <w14:solidFill>
                    <w14:schemeClr w14:val="tx1"/>
                  </w14:solidFill>
                </w14:textFill>
              </w:rPr>
              <w:t>m³/h，项目收集前15min的初期雨水量为</w:t>
            </w:r>
            <w:r>
              <w:rPr>
                <w:rFonts w:hint="default" w:ascii="Times New Roman" w:hAnsi="Times New Roman" w:cs="Times New Roman"/>
                <w:color w:val="000000" w:themeColor="text1"/>
                <w:kern w:val="0"/>
                <w:sz w:val="24"/>
                <w:lang w:val="en-US" w:eastAsia="zh-CN"/>
                <w14:textFill>
                  <w14:solidFill>
                    <w14:schemeClr w14:val="tx1"/>
                  </w14:solidFill>
                </w14:textFill>
              </w:rPr>
              <w:t>14.32</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/次，</w:t>
            </w:r>
            <w:r>
              <w:rPr>
                <w:rFonts w:hint="default" w:ascii="Times New Roman" w:hAnsi="Times New Roman" w:cs="Times New Roman"/>
                <w:color w:val="000000" w:themeColor="text1"/>
                <w:kern w:val="0"/>
                <w:sz w:val="24"/>
                <w:lang w:val="en-US" w:eastAsia="zh-CN"/>
                <w14:textFill>
                  <w14:solidFill>
                    <w14:schemeClr w14:val="tx1"/>
                  </w14:solidFill>
                </w14:textFill>
              </w:rPr>
              <w:t>1718.4</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按雨天为120天计</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项目设置1个容积为50</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lang w:val="en-US" w:eastAsia="zh-CN"/>
                <w14:textFill>
                  <w14:solidFill>
                    <w14:schemeClr w14:val="tx1"/>
                  </w14:solidFill>
                </w14:textFill>
              </w:rPr>
              <w:t>雨水收集池</w:t>
            </w:r>
            <w:r>
              <w:rPr>
                <w:rFonts w:hint="eastAsia" w:ascii="Times New Roman" w:hAnsi="Times New Roman" w:cs="Times New Roman"/>
                <w:color w:val="000000" w:themeColor="text1"/>
                <w:kern w:val="0"/>
                <w:sz w:val="24"/>
                <w:lang w:val="en-US" w:eastAsia="zh-CN"/>
                <w14:textFill>
                  <w14:solidFill>
                    <w14:schemeClr w14:val="tx1"/>
                  </w14:solidFill>
                </w14:textFill>
              </w:rPr>
              <w:t>位于厂区最低处</w:t>
            </w:r>
            <w:r>
              <w:rPr>
                <w:rFonts w:hint="default" w:ascii="Times New Roman" w:hAnsi="Times New Roman" w:cs="Times New Roman"/>
                <w:color w:val="000000" w:themeColor="text1"/>
                <w:kern w:val="0"/>
                <w:sz w:val="24"/>
                <w:lang w:val="en-US" w:eastAsia="zh-CN"/>
                <w14:textFill>
                  <w14:solidFill>
                    <w14:schemeClr w14:val="tx1"/>
                  </w14:solidFill>
                </w14:textFill>
              </w:rPr>
              <w:t>。</w:t>
            </w:r>
          </w:p>
          <w:p>
            <w:pPr>
              <w:widowControl/>
              <w:spacing w:line="360" w:lineRule="auto"/>
              <w:ind w:firstLine="480" w:firstLineChars="200"/>
              <w:jc w:val="both"/>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收集可行性分析：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厂区道路采用</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泥结碎石碾压整平</w:t>
            </w:r>
            <w:r>
              <w:rPr>
                <w:rFonts w:hint="eastAsia"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，在四周设置雨水沟，在厂区靠近沘江低洼处设置</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雨水收集池</w:t>
            </w:r>
            <w:r>
              <w:rPr>
                <w:rFonts w:hint="eastAsia"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初期雨水经截排水沟收集后暂存</w:t>
            </w:r>
            <w:r>
              <w:rPr>
                <w:rFonts w:hint="eastAsia" w:ascii="Times New Roman" w:hAnsi="Times New Roman" w:cs="Times New Roman"/>
                <w:color w:val="000000" w:themeColor="text1"/>
                <w:kern w:val="0"/>
                <w:sz w:val="24"/>
                <w:szCs w:val="22"/>
                <w:lang w:val="en-US" w:eastAsia="zh-CN" w:bidi="ar-SA"/>
                <w14:textFill>
                  <w14:solidFill>
                    <w14:schemeClr w14:val="tx1"/>
                  </w14:solidFill>
                </w14:textFill>
              </w:rPr>
              <w:t>于雨水收集池</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，经沉淀处理后用于厂区洒水降尘，不外排</w:t>
            </w:r>
            <w:r>
              <w:rPr>
                <w:rFonts w:hint="eastAsia" w:ascii="Times New Roman" w:hAnsi="Times New Roman" w:cs="Times New Roman"/>
                <w:color w:val="000000" w:themeColor="text1"/>
                <w:kern w:val="0"/>
                <w:sz w:val="24"/>
                <w:szCs w:val="22"/>
                <w:lang w:val="en-US" w:eastAsia="zh-CN" w:bidi="ar-SA"/>
                <w14:textFill>
                  <w14:solidFill>
                    <w14:schemeClr w14:val="tx1"/>
                  </w14:solidFill>
                </w14:textFill>
              </w:rPr>
              <w:t>，设置收集池防止含尘雨水直接排入沘江，设置雨水收集池可行</w:t>
            </w:r>
            <w:r>
              <w:rPr>
                <w:rFonts w:hint="default" w:ascii="Times New Roman" w:hAnsi="Times New Roman" w:cs="Times New Roman" w:eastAsiaTheme="minorEastAsia"/>
                <w:color w:val="000000" w:themeColor="text1"/>
                <w:kern w:val="0"/>
                <w:sz w:val="24"/>
                <w:szCs w:val="22"/>
                <w:lang w:val="en-US" w:eastAsia="zh-CN" w:bidi="ar-SA"/>
                <w14:textFill>
                  <w14:solidFill>
                    <w14:schemeClr w14:val="tx1"/>
                  </w14:solidFill>
                </w14:textFill>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5）生活用水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rPr>
              <w:t>项目运营期劳动定员</w:t>
            </w:r>
            <w:r>
              <w:rPr>
                <w:rFonts w:hint="default" w:ascii="Times New Roman" w:hAnsi="Times New Roman" w:cs="Times New Roman"/>
                <w:sz w:val="24"/>
                <w:lang w:val="en-US" w:eastAsia="zh-CN"/>
              </w:rPr>
              <w:t>10</w:t>
            </w:r>
            <w:r>
              <w:rPr>
                <w:rFonts w:hint="default" w:ascii="Times New Roman" w:hAnsi="Times New Roman" w:cs="Times New Roman"/>
                <w:sz w:val="24"/>
              </w:rPr>
              <w:t>名，均在项目区内食宿，年工作</w:t>
            </w:r>
            <w:r>
              <w:rPr>
                <w:rFonts w:hint="default" w:ascii="Times New Roman" w:hAnsi="Times New Roman" w:cs="Times New Roman"/>
                <w:sz w:val="24"/>
                <w:lang w:eastAsia="zh-CN"/>
              </w:rPr>
              <w:t>300</w:t>
            </w:r>
            <w:r>
              <w:rPr>
                <w:rFonts w:hint="default" w:ascii="Times New Roman" w:hAnsi="Times New Roman" w:cs="Times New Roman"/>
                <w:sz w:val="24"/>
              </w:rPr>
              <w:t>天。根据《云南省地方标准用水定额》（DB53/T168-2019</w:t>
            </w:r>
            <w:r>
              <w:rPr>
                <w:rFonts w:hint="eastAsia" w:ascii="Times New Roman" w:hAnsi="Times New Roman" w:cs="Times New Roman"/>
                <w:sz w:val="24"/>
                <w:lang w:eastAsia="zh-CN"/>
              </w:rPr>
              <w:t>）</w:t>
            </w:r>
            <w:r>
              <w:rPr>
                <w:rFonts w:hint="default" w:ascii="Times New Roman" w:hAnsi="Times New Roman" w:cs="Times New Roman"/>
                <w:sz w:val="24"/>
              </w:rPr>
              <w:t>标准，全省划分为三个农村居民生活用水分区，分别为热带区、亚热带区和温带区。本项目位于大理州</w:t>
            </w:r>
            <w:r>
              <w:rPr>
                <w:rFonts w:hint="default" w:ascii="Times New Roman" w:hAnsi="Times New Roman" w:cs="Times New Roman"/>
                <w:sz w:val="24"/>
                <w:lang w:val="en-US" w:eastAsia="zh-CN"/>
              </w:rPr>
              <w:t>云龙</w:t>
            </w:r>
            <w:r>
              <w:rPr>
                <w:rFonts w:hint="default" w:ascii="Times New Roman" w:hAnsi="Times New Roman" w:cs="Times New Roman"/>
                <w:sz w:val="24"/>
              </w:rPr>
              <w:t>县，属于亚热带区，用水定额取</w:t>
            </w:r>
            <w:r>
              <w:rPr>
                <w:rFonts w:hint="default" w:ascii="Times New Roman" w:hAnsi="Times New Roman" w:cs="Times New Roman"/>
                <w:sz w:val="24"/>
                <w:lang w:val="en-US" w:eastAsia="zh-CN"/>
              </w:rPr>
              <w:t>10</w:t>
            </w:r>
            <w:r>
              <w:rPr>
                <w:rFonts w:hint="default" w:ascii="Times New Roman" w:hAnsi="Times New Roman" w:cs="Times New Roman"/>
                <w:sz w:val="24"/>
              </w:rPr>
              <w:t>0L/（人.d）进行计算。则生活用水量为</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300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。其中厨房用水量约按生活用水量的30%计算，则厨房用水量为0.</w:t>
            </w:r>
            <w:r>
              <w:rPr>
                <w:rFonts w:hint="default" w:ascii="Times New Roman" w:hAnsi="Times New Roman" w:cs="Times New Roman"/>
                <w:sz w:val="24"/>
                <w:lang w:val="en-US" w:eastAsia="zh-CN"/>
              </w:rPr>
              <w:t>3</w:t>
            </w:r>
            <w:r>
              <w:rPr>
                <w:rFonts w:hint="default" w:ascii="Times New Roman" w:hAnsi="Times New Roman" w:cs="Times New Roman"/>
                <w:sz w:val="24"/>
              </w:rPr>
              <w:t>m³/d、</w:t>
            </w:r>
            <w:r>
              <w:rPr>
                <w:rFonts w:hint="default" w:ascii="Times New Roman" w:hAnsi="Times New Roman" w:cs="Times New Roman"/>
                <w:sz w:val="24"/>
                <w:lang w:val="en-US" w:eastAsia="zh-CN"/>
              </w:rPr>
              <w:t>90</w:t>
            </w:r>
            <w:r>
              <w:rPr>
                <w:rFonts w:hint="default" w:ascii="Times New Roman" w:hAnsi="Times New Roman" w:cs="Times New Roman"/>
                <w:sz w:val="24"/>
              </w:rPr>
              <w:t>m³/a；</w:t>
            </w:r>
            <w:r>
              <w:rPr>
                <w:rFonts w:hint="eastAsia" w:ascii="Times New Roman" w:hAnsi="Times New Roman" w:cs="Times New Roman"/>
                <w:sz w:val="24"/>
                <w:lang w:eastAsia="zh-CN"/>
              </w:rPr>
              <w:t>生活清洗用水量</w:t>
            </w:r>
            <w:r>
              <w:rPr>
                <w:rFonts w:hint="default" w:ascii="Times New Roman" w:hAnsi="Times New Roman" w:cs="Times New Roman"/>
                <w:sz w:val="24"/>
              </w:rPr>
              <w:t>按生活用水量的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7</w:t>
            </w:r>
            <w:r>
              <w:rPr>
                <w:rFonts w:hint="default" w:ascii="Times New Roman" w:hAnsi="Times New Roman" w:cs="Times New Roman"/>
                <w:sz w:val="24"/>
              </w:rPr>
              <w:t>m³/d、</w:t>
            </w:r>
            <w:r>
              <w:rPr>
                <w:rFonts w:hint="default" w:ascii="Times New Roman" w:hAnsi="Times New Roman" w:cs="Times New Roman"/>
                <w:sz w:val="24"/>
                <w:lang w:val="en-US" w:eastAsia="zh-CN"/>
              </w:rPr>
              <w:t>210</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产污系数为0.8，</w:t>
            </w:r>
            <w:r>
              <w:rPr>
                <w:rFonts w:hint="default" w:ascii="Times New Roman" w:hAnsi="Times New Roman" w:cs="Times New Roman"/>
                <w:sz w:val="24"/>
              </w:rPr>
              <w:t>则生活</w:t>
            </w:r>
            <w:r>
              <w:rPr>
                <w:rFonts w:hint="default" w:ascii="Times New Roman" w:hAnsi="Times New Roman" w:cs="Times New Roman"/>
                <w:sz w:val="24"/>
                <w:lang w:val="en-US" w:eastAsia="zh-CN"/>
              </w:rPr>
              <w:t>污</w:t>
            </w:r>
            <w:r>
              <w:rPr>
                <w:rFonts w:hint="default" w:ascii="Times New Roman" w:hAnsi="Times New Roman" w:cs="Times New Roman"/>
                <w:sz w:val="24"/>
              </w:rPr>
              <w:t>水量为</w:t>
            </w:r>
            <w:r>
              <w:rPr>
                <w:rFonts w:hint="default" w:ascii="Times New Roman" w:hAnsi="Times New Roman" w:eastAsia="宋体"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240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w:t>
            </w:r>
            <w:r>
              <w:rPr>
                <w:rFonts w:hint="default" w:ascii="Times New Roman" w:hAnsi="Times New Roman" w:cs="Times New Roman"/>
                <w:sz w:val="24"/>
                <w:lang w:val="en-US" w:eastAsia="zh-CN"/>
              </w:rPr>
              <w:t>污</w:t>
            </w:r>
            <w:r>
              <w:rPr>
                <w:rFonts w:hint="default" w:ascii="Times New Roman" w:hAnsi="Times New Roman" w:cs="Times New Roman"/>
                <w:sz w:val="24"/>
              </w:rPr>
              <w:t>水量约按生活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水量的30%计算，则厨房用水量为0.</w:t>
            </w:r>
            <w:r>
              <w:rPr>
                <w:rFonts w:hint="default" w:ascii="Times New Roman" w:hAnsi="Times New Roman" w:cs="Times New Roman"/>
                <w:sz w:val="24"/>
                <w:lang w:val="en-US" w:eastAsia="zh-CN"/>
              </w:rPr>
              <w:t>24</w:t>
            </w:r>
            <w:r>
              <w:rPr>
                <w:rFonts w:hint="default" w:ascii="Times New Roman" w:hAnsi="Times New Roman" w:cs="Times New Roman"/>
                <w:sz w:val="24"/>
              </w:rPr>
              <w:t>m³/d、</w:t>
            </w:r>
            <w:r>
              <w:rPr>
                <w:rFonts w:hint="default" w:ascii="Times New Roman" w:hAnsi="Times New Roman" w:cs="Times New Roman"/>
                <w:sz w:val="24"/>
                <w:lang w:val="en-US" w:eastAsia="zh-CN"/>
              </w:rPr>
              <w:t>72</w:t>
            </w:r>
            <w:r>
              <w:rPr>
                <w:rFonts w:hint="default" w:ascii="Times New Roman" w:hAnsi="Times New Roman" w:cs="Times New Roman"/>
                <w:sz w:val="24"/>
              </w:rPr>
              <w:t>m³/a；</w:t>
            </w:r>
            <w:r>
              <w:rPr>
                <w:rFonts w:hint="eastAsia" w:ascii="Times New Roman" w:hAnsi="Times New Roman" w:cs="Times New Roman"/>
                <w:sz w:val="24"/>
                <w:lang w:eastAsia="zh-CN"/>
              </w:rPr>
              <w:t>生活清洗废水量</w:t>
            </w:r>
            <w:r>
              <w:rPr>
                <w:rFonts w:hint="default" w:ascii="Times New Roman" w:hAnsi="Times New Roman" w:cs="Times New Roman"/>
                <w:sz w:val="24"/>
              </w:rPr>
              <w:t>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56</w:t>
            </w:r>
            <w:r>
              <w:rPr>
                <w:rFonts w:hint="default" w:ascii="Times New Roman" w:hAnsi="Times New Roman" w:cs="Times New Roman"/>
                <w:sz w:val="24"/>
              </w:rPr>
              <w:t>m³/d、</w:t>
            </w:r>
            <w:r>
              <w:rPr>
                <w:rFonts w:hint="default" w:ascii="Times New Roman" w:hAnsi="Times New Roman" w:cs="Times New Roman"/>
                <w:sz w:val="24"/>
                <w:lang w:val="en-US" w:eastAsia="zh-CN"/>
              </w:rPr>
              <w:t>168</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rPr>
              <w:t>本次环评要求生活区设置一个不小于0.3m</w:t>
            </w:r>
            <w:r>
              <w:rPr>
                <w:rFonts w:hint="default" w:ascii="Times New Roman" w:hAnsi="Times New Roman" w:cs="Times New Roman"/>
                <w:sz w:val="24"/>
                <w:vertAlign w:val="superscript"/>
              </w:rPr>
              <w:t>3</w:t>
            </w:r>
            <w:r>
              <w:rPr>
                <w:rFonts w:hint="default" w:ascii="Times New Roman" w:hAnsi="Times New Roman" w:cs="Times New Roman"/>
                <w:sz w:val="24"/>
              </w:rPr>
              <w:t>的油水分离器，项目产生的厨房废水经油水分离器（≥0.3m³）隔油处理后</w:t>
            </w:r>
            <w:r>
              <w:rPr>
                <w:rFonts w:hint="eastAsia" w:ascii="Times New Roman" w:hAnsi="Times New Roman" w:cs="Times New Roman"/>
                <w:sz w:val="24"/>
                <w:lang w:eastAsia="zh-CN"/>
              </w:rPr>
              <w:t>连同生活清洗废水</w:t>
            </w:r>
            <w:r>
              <w:rPr>
                <w:rFonts w:hint="default" w:ascii="Times New Roman" w:hAnsi="Times New Roman" w:cs="Times New Roman"/>
                <w:sz w:val="24"/>
              </w:rPr>
              <w:t>一并进入</w:t>
            </w:r>
            <w:r>
              <w:rPr>
                <w:rFonts w:hint="eastAsia" w:ascii="Times New Roman" w:hAnsi="Times New Roman" w:cs="Times New Roman"/>
                <w:sz w:val="24"/>
                <w:lang w:eastAsia="zh-CN"/>
              </w:rPr>
              <w:t>生活污水收集池（1m</w:t>
            </w:r>
            <w:r>
              <w:rPr>
                <w:rFonts w:hint="default" w:ascii="Times New Roman" w:hAnsi="Times New Roman" w:cs="Times New Roman"/>
                <w:sz w:val="24"/>
              </w:rPr>
              <w:t>³），</w:t>
            </w:r>
            <w:r>
              <w:rPr>
                <w:rFonts w:hint="eastAsia" w:ascii="Times New Roman" w:hAnsi="Times New Roman" w:cs="Times New Roman"/>
                <w:sz w:val="24"/>
                <w:lang w:eastAsia="zh-CN"/>
              </w:rPr>
              <w:t>经收集池沉淀后用于厂区洒水降尘</w:t>
            </w:r>
            <w:r>
              <w:rPr>
                <w:rFonts w:hint="default" w:ascii="Times New Roman" w:hAnsi="Times New Roman" w:cs="Times New Roman"/>
                <w:sz w:val="24"/>
              </w:rPr>
              <w:t>，不外排；项目配套设置</w:t>
            </w:r>
            <w:r>
              <w:rPr>
                <w:rFonts w:hint="default" w:ascii="Times New Roman" w:hAnsi="Times New Roman" w:cs="Times New Roman"/>
                <w:sz w:val="24"/>
                <w:lang w:val="en-US" w:eastAsia="zh-CN"/>
              </w:rPr>
              <w:t>旱厕</w:t>
            </w:r>
            <w:r>
              <w:rPr>
                <w:rFonts w:hint="default" w:ascii="Times New Roman" w:hAnsi="Times New Roman" w:cs="Times New Roman"/>
                <w:sz w:val="24"/>
              </w:rPr>
              <w:t>（3m³），定期清掏，用于周边农田施肥。</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7</w:t>
            </w:r>
            <w:r>
              <w:rPr>
                <w:rFonts w:hint="default" w:ascii="Times New Roman" w:hAnsi="Times New Roman" w:eastAsia="宋体" w:cs="Times New Roman"/>
                <w:b/>
                <w:bCs/>
                <w:color w:val="auto"/>
                <w:kern w:val="0"/>
                <w:sz w:val="24"/>
                <w:szCs w:val="24"/>
                <w:highlight w:val="none"/>
                <w:lang w:val="en-US" w:eastAsia="zh-CN"/>
              </w:rPr>
              <w:t>、项目水平衡及物料平衡</w:t>
            </w:r>
          </w:p>
          <w:p>
            <w:pPr>
              <w:keepNext/>
              <w:keepLines/>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w:t>
            </w:r>
            <w:r>
              <w:rPr>
                <w:rFonts w:hint="eastAsia"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用水量及废水产生量情况一览表</w:t>
            </w:r>
          </w:p>
          <w:tbl>
            <w:tblPr>
              <w:tblStyle w:val="27"/>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51"/>
              <w:gridCol w:w="1294"/>
              <w:gridCol w:w="1192"/>
              <w:gridCol w:w="1056"/>
              <w:gridCol w:w="104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用水/废水产生环节</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r>
                    <w:rPr>
                      <w:rFonts w:hint="default" w:ascii="Times New Roman" w:hAnsi="Times New Roman" w:eastAsia="宋体" w:cs="Times New Roman"/>
                      <w:b/>
                      <w:bCs/>
                      <w:color w:val="auto"/>
                      <w:kern w:val="2"/>
                      <w:sz w:val="21"/>
                      <w:szCs w:val="21"/>
                      <w:highlight w:val="none"/>
                      <w:lang w:bidi="ar"/>
                    </w:rPr>
                    <w:t>）</w:t>
                  </w:r>
                </w:p>
              </w:tc>
              <w:tc>
                <w:tcPr>
                  <w:tcW w:w="1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sz w:val="21"/>
                      <w:szCs w:val="21"/>
                      <w:highlight w:val="none"/>
                      <w:vertAlign w:val="baseline"/>
                      <w:lang w:val="en-US" w:eastAsia="zh-CN"/>
                    </w:rPr>
                    <w:t>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/d</w:t>
                  </w:r>
                  <w:r>
                    <w:rPr>
                      <w:rFonts w:hint="default" w:ascii="Times New Roman" w:hAnsi="Times New Roman" w:eastAsia="宋体" w:cs="Times New Roman"/>
                      <w:b/>
                      <w:bCs/>
                      <w:color w:val="auto"/>
                      <w:kern w:val="2"/>
                      <w:sz w:val="21"/>
                      <w:szCs w:val="21"/>
                      <w:highlight w:val="none"/>
                      <w:lang w:eastAsia="zh-CN" w:bidi="ar"/>
                    </w:rPr>
                    <w:t>）</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kern w:val="2"/>
                      <w:sz w:val="21"/>
                      <w:szCs w:val="21"/>
                      <w:highlight w:val="none"/>
                      <w:lang w:bidi="ar"/>
                    </w:rPr>
                    <w:t>（</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2233"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1</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洗砂用水</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cs="Times New Roman"/>
                      <w:b w:val="0"/>
                      <w:bCs w:val="0"/>
                      <w:color w:val="auto"/>
                      <w:kern w:val="2"/>
                      <w:sz w:val="21"/>
                      <w:szCs w:val="21"/>
                      <w:highlight w:val="none"/>
                      <w:lang w:val="en-US" w:eastAsia="zh-CN" w:bidi="ar"/>
                    </w:rPr>
                    <w:t>22</w:t>
                  </w:r>
                  <w:r>
                    <w:rPr>
                      <w:rFonts w:hint="eastAsia" w:ascii="Times New Roman" w:hAnsi="Times New Roman" w:eastAsia="宋体" w:cs="Times New Roman"/>
                      <w:b w:val="0"/>
                      <w:bCs w:val="0"/>
                      <w:color w:val="auto"/>
                      <w:kern w:val="2"/>
                      <w:sz w:val="21"/>
                      <w:szCs w:val="21"/>
                      <w:highlight w:val="none"/>
                      <w:lang w:val="en-US" w:eastAsia="zh-CN" w:bidi="ar"/>
                    </w:rPr>
                    <w:t>（回用水</w:t>
                  </w:r>
                  <w:r>
                    <w:rPr>
                      <w:rFonts w:hint="eastAsia" w:ascii="Times New Roman" w:hAnsi="Times New Roman" w:cs="Times New Roman"/>
                      <w:bCs/>
                      <w:color w:val="auto"/>
                      <w:sz w:val="21"/>
                      <w:szCs w:val="21"/>
                      <w:highlight w:val="none"/>
                      <w:lang w:val="en-US" w:eastAsia="zh-CN"/>
                    </w:rPr>
                    <w:t>18.67</w:t>
                  </w:r>
                  <w:r>
                    <w:rPr>
                      <w:rFonts w:hint="default" w:ascii="Times New Roman" w:hAnsi="Times New Roman" w:eastAsia="宋体" w:cs="Times New Roman"/>
                      <w:bCs/>
                      <w:color w:val="auto"/>
                      <w:sz w:val="21"/>
                      <w:szCs w:val="21"/>
                      <w:highlight w:val="none"/>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 w:val="0"/>
                      <w:bCs w:val="0"/>
                      <w:color w:val="auto"/>
                      <w:kern w:val="2"/>
                      <w:sz w:val="21"/>
                      <w:szCs w:val="21"/>
                      <w:highlight w:val="none"/>
                      <w:lang w:val="en-US" w:eastAsia="zh-CN" w:bidi="ar"/>
                    </w:rPr>
                    <w:t>补充水量</w:t>
                  </w:r>
                  <w:r>
                    <w:rPr>
                      <w:rFonts w:hint="eastAsia" w:ascii="Times New Roman" w:hAnsi="Times New Roman" w:cs="Times New Roman"/>
                      <w:bCs/>
                      <w:color w:val="auto"/>
                      <w:sz w:val="21"/>
                      <w:szCs w:val="21"/>
                      <w:highlight w:val="none"/>
                      <w:lang w:val="en-US" w:eastAsia="zh-CN"/>
                    </w:rPr>
                    <w:t>3.29</w:t>
                  </w:r>
                  <w:r>
                    <w:rPr>
                      <w:rFonts w:hint="eastAsia" w:ascii="Times New Roman" w:hAnsi="Times New Roman" w:eastAsia="宋体" w:cs="Times New Roman"/>
                      <w:b w:val="0"/>
                      <w:bCs w:val="0"/>
                      <w:color w:val="auto"/>
                      <w:kern w:val="2"/>
                      <w:sz w:val="21"/>
                      <w:szCs w:val="21"/>
                      <w:highlight w:val="none"/>
                      <w:lang w:val="en-US" w:eastAsia="zh-CN" w:bidi="ar"/>
                    </w:rPr>
                    <w:t>m</w:t>
                  </w:r>
                  <w:r>
                    <w:rPr>
                      <w:rFonts w:hint="eastAsia" w:ascii="Times New Roman" w:hAnsi="Times New Roman" w:eastAsia="宋体" w:cs="Times New Roman"/>
                      <w:b w:val="0"/>
                      <w:bCs w:val="0"/>
                      <w:color w:val="auto"/>
                      <w:kern w:val="2"/>
                      <w:sz w:val="21"/>
                      <w:szCs w:val="21"/>
                      <w:highlight w:val="none"/>
                      <w:vertAlign w:val="superscript"/>
                      <w:lang w:val="en-US" w:eastAsia="zh-CN" w:bidi="ar"/>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 w:val="0"/>
                      <w:bCs w:val="0"/>
                      <w:color w:val="auto"/>
                      <w:kern w:val="2"/>
                      <w:sz w:val="21"/>
                      <w:szCs w:val="21"/>
                      <w:highlight w:val="none"/>
                      <w:lang w:val="en-US" w:eastAsia="zh-CN" w:bidi="ar"/>
                    </w:rPr>
                    <w:t>）</w:t>
                  </w:r>
                </w:p>
              </w:tc>
              <w:tc>
                <w:tcPr>
                  <w:tcW w:w="1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b w:val="0"/>
                      <w:bCs w:val="0"/>
                      <w:color w:val="auto"/>
                      <w:kern w:val="2"/>
                      <w:sz w:val="21"/>
                      <w:szCs w:val="21"/>
                      <w:highlight w:val="none"/>
                      <w:lang w:val="en-US" w:eastAsia="zh-CN" w:bidi="ar"/>
                    </w:rPr>
                    <w:t>新鲜水补充量988.24m</w:t>
                  </w:r>
                  <w:r>
                    <w:rPr>
                      <w:rFonts w:hint="eastAsia" w:ascii="Times New Roman" w:hAnsi="Times New Roman"/>
                      <w:b w:val="0"/>
                      <w:bCs w:val="0"/>
                      <w:color w:val="auto"/>
                      <w:kern w:val="2"/>
                      <w:sz w:val="21"/>
                      <w:szCs w:val="21"/>
                      <w:highlight w:val="none"/>
                      <w:vertAlign w:val="superscript"/>
                      <w:lang w:val="en-US" w:eastAsia="zh-CN" w:bidi="ar"/>
                    </w:rPr>
                    <w:t>3</w:t>
                  </w:r>
                  <w:r>
                    <w:rPr>
                      <w:rFonts w:hint="eastAsia" w:ascii="Times New Roman" w:hAnsi="Times New Roman"/>
                      <w:b w:val="0"/>
                      <w:bCs w:val="0"/>
                      <w:color w:val="auto"/>
                      <w:kern w:val="2"/>
                      <w:sz w:val="21"/>
                      <w:szCs w:val="21"/>
                      <w:highlight w:val="none"/>
                      <w:vertAlign w:val="baseline"/>
                      <w:lang w:val="en-US" w:eastAsia="zh-CN" w:bidi="ar"/>
                    </w:rPr>
                    <w:t>/a</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18.67</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5600</w:t>
                  </w:r>
                </w:p>
              </w:tc>
              <w:tc>
                <w:tcPr>
                  <w:tcW w:w="2233"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11.52</w:t>
                  </w:r>
                </w:p>
              </w:tc>
              <w:tc>
                <w:tcPr>
                  <w:tcW w:w="1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3456</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233"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eastAsia="zh-CN" w:bidi="ar"/>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场地洒水降尘用水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w:t>
                  </w:r>
                </w:p>
              </w:tc>
              <w:tc>
                <w:tcPr>
                  <w:tcW w:w="1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424</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3</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2100"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14.32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次</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回用于降尘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4</w:t>
                  </w:r>
                </w:p>
              </w:tc>
              <w:tc>
                <w:tcPr>
                  <w:tcW w:w="135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员工生活用水</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p>
              </w:tc>
              <w:tc>
                <w:tcPr>
                  <w:tcW w:w="1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300</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val="en-US" w:eastAsia="zh-CN"/>
                    </w:rPr>
                    <w:t>8</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240</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生活污水收集池、旱厕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8"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合计</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36.52</w:t>
                  </w:r>
                </w:p>
              </w:tc>
              <w:tc>
                <w:tcPr>
                  <w:tcW w:w="11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5168.24</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19.47</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5840</w:t>
                  </w:r>
                </w:p>
              </w:tc>
              <w:tc>
                <w:tcPr>
                  <w:tcW w:w="2233"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水平衡图见下图：</w:t>
            </w:r>
          </w:p>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object>
                <v:shape id="_x0000_i1025" o:spt="75" type="#_x0000_t75" style="height:247.2pt;width:421.5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lang w:eastAsia="zh-CN"/>
              </w:rPr>
              <w:t>图</w:t>
            </w:r>
            <w:r>
              <w:rPr>
                <w:rFonts w:hint="default" w:ascii="Times New Roman" w:hAnsi="Times New Roman" w:eastAsia="宋体" w:cs="Times New Roman"/>
                <w:b/>
                <w:bCs/>
                <w:color w:val="auto"/>
                <w:lang w:val="en-US" w:eastAsia="zh-CN"/>
              </w:rPr>
              <w:t>2-1</w:t>
            </w:r>
            <w:r>
              <w:rPr>
                <w:rFonts w:hint="default" w:ascii="Times New Roman" w:hAnsi="Times New Roman" w:eastAsia="宋体" w:cs="Times New Roman"/>
                <w:b/>
                <w:bCs/>
                <w:color w:val="auto"/>
                <w:szCs w:val="21"/>
              </w:rPr>
              <w:t>项目用水平衡图单位：m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r>
              <w:rPr>
                <w:rFonts w:hint="default" w:ascii="Times New Roman" w:hAnsi="Times New Roman" w:eastAsia="宋体" w:cs="Times New Roman"/>
                <w:b/>
                <w:bCs/>
                <w:color w:val="auto"/>
                <w:szCs w:val="21"/>
                <w:lang w:val="en-US" w:eastAsia="zh-CN"/>
              </w:rPr>
              <w:t>d（晴天）</w:t>
            </w:r>
          </w:p>
          <w:p>
            <w:pPr>
              <w:pStyle w:val="13"/>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color w:val="auto"/>
                <w:lang w:val="en-US" w:eastAsia="zh-CN"/>
              </w:rPr>
              <w:object>
                <v:shape id="_x0000_i1026" o:spt="75" type="#_x0000_t75" style="height:214.1pt;width:410.2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lang w:eastAsia="zh-CN"/>
              </w:rPr>
              <w:t>图</w:t>
            </w:r>
            <w:r>
              <w:rPr>
                <w:rFonts w:hint="default" w:ascii="Times New Roman" w:hAnsi="Times New Roman" w:eastAsia="宋体" w:cs="Times New Roman"/>
                <w:b/>
                <w:bCs/>
                <w:color w:val="auto"/>
                <w:lang w:val="en-US" w:eastAsia="zh-CN"/>
              </w:rPr>
              <w:t>2-2项目</w:t>
            </w:r>
            <w:r>
              <w:rPr>
                <w:rFonts w:hint="default" w:ascii="Times New Roman" w:hAnsi="Times New Roman" w:eastAsia="宋体" w:cs="Times New Roman"/>
                <w:b/>
                <w:bCs/>
                <w:color w:val="auto"/>
                <w:szCs w:val="21"/>
              </w:rPr>
              <w:t>用水平衡图单位：m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r>
              <w:rPr>
                <w:rFonts w:hint="default" w:ascii="Times New Roman" w:hAnsi="Times New Roman" w:eastAsia="宋体" w:cs="Times New Roman"/>
                <w:b/>
                <w:bCs/>
                <w:color w:val="auto"/>
                <w:szCs w:val="21"/>
                <w:lang w:val="en-US" w:eastAsia="zh-CN"/>
              </w:rPr>
              <w:t>d（雨天）</w:t>
            </w:r>
          </w:p>
          <w:p>
            <w:pPr>
              <w:adjustRightInd w:val="0"/>
              <w:snapToGrid w:val="0"/>
              <w:spacing w:line="360" w:lineRule="auto"/>
              <w:ind w:left="420" w:leftChars="200"/>
              <w:rPr>
                <w:rFonts w:hint="default" w:ascii="Times New Roman" w:hAnsi="Times New Roman"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kern w:val="21"/>
                <w:sz w:val="24"/>
                <w:szCs w:val="24"/>
                <w:lang w:val="en-US" w:eastAsia="zh-CN"/>
                <w14:textFill>
                  <w14:solidFill>
                    <w14:schemeClr w14:val="tx1"/>
                  </w14:solidFill>
                </w14:textFill>
              </w:rPr>
              <w:t>8</w:t>
            </w:r>
            <w:r>
              <w:rPr>
                <w:rFonts w:hint="default" w:ascii="Times New Roman" w:hAnsi="Times New Roman" w:cs="Times New Roman"/>
                <w:b/>
                <w:color w:val="000000" w:themeColor="text1"/>
                <w:sz w:val="24"/>
                <w14:textFill>
                  <w14:solidFill>
                    <w14:schemeClr w14:val="tx1"/>
                  </w14:solidFill>
                </w14:textFill>
              </w:rPr>
              <w:t>、</w:t>
            </w:r>
            <w:r>
              <w:rPr>
                <w:rFonts w:hint="default" w:ascii="Times New Roman" w:hAnsi="Times New Roman" w:cs="Times New Roman"/>
                <w:b/>
                <w:bCs/>
                <w:color w:val="000000" w:themeColor="text1"/>
                <w:sz w:val="24"/>
                <w14:textFill>
                  <w14:solidFill>
                    <w14:schemeClr w14:val="tx1"/>
                  </w14:solidFill>
                </w14:textFill>
              </w:rPr>
              <w:t>物料平衡</w:t>
            </w:r>
          </w:p>
          <w:p>
            <w:pPr>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项目运营期产生的废气污染物主要为颗粒物（粉尘），使用原料为</w:t>
            </w:r>
            <w:r>
              <w:rPr>
                <w:rFonts w:hint="default" w:ascii="Times New Roman" w:hAnsi="Times New Roman" w:cs="Times New Roman"/>
                <w:color w:val="000000" w:themeColor="text1"/>
                <w:sz w:val="24"/>
                <w:lang w:val="en-US" w:eastAsia="zh-CN"/>
                <w14:textFill>
                  <w14:solidFill>
                    <w14:schemeClr w14:val="tx1"/>
                  </w14:solidFill>
                </w14:textFill>
              </w:rPr>
              <w:t>洞渣</w:t>
            </w:r>
            <w:r>
              <w:rPr>
                <w:rFonts w:hint="default" w:ascii="Times New Roman" w:hAnsi="Times New Roman" w:cs="Times New Roman"/>
                <w:color w:val="000000" w:themeColor="text1"/>
                <w:sz w:val="24"/>
                <w14:textFill>
                  <w14:solidFill>
                    <w14:schemeClr w14:val="tx1"/>
                  </w14:solidFill>
                </w14:textFill>
              </w:rPr>
              <w:t>，运营期生产加工工序破碎、筛分均为物料加工，生产加工过程不涉及有毒有害物质，生产物料平衡见下表2-</w:t>
            </w:r>
            <w:r>
              <w:rPr>
                <w:rFonts w:hint="eastAsia"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pacing w:val="0"/>
                <w:sz w:val="21"/>
                <w:szCs w:val="21"/>
                <w14:textFill>
                  <w14:solidFill>
                    <w14:schemeClr w14:val="tx1"/>
                  </w14:solidFill>
                </w14:textFill>
              </w:rPr>
            </w:pPr>
            <w:r>
              <w:rPr>
                <w:rFonts w:hint="default" w:ascii="Times New Roman" w:hAnsi="Times New Roman" w:cs="Times New Roman"/>
                <w:b/>
                <w:bCs/>
                <w:color w:val="000000" w:themeColor="text1"/>
                <w:spacing w:val="0"/>
                <w:sz w:val="21"/>
                <w:szCs w:val="21"/>
                <w14:textFill>
                  <w14:solidFill>
                    <w14:schemeClr w14:val="tx1"/>
                  </w14:solidFill>
                </w14:textFill>
              </w:rPr>
              <w:t>表2-</w:t>
            </w:r>
            <w:r>
              <w:rPr>
                <w:rFonts w:hint="eastAsia" w:ascii="Times New Roman" w:hAnsi="Times New Roman" w:cs="Times New Roman"/>
                <w:b/>
                <w:bCs/>
                <w:color w:val="000000" w:themeColor="text1"/>
                <w:spacing w:val="0"/>
                <w:sz w:val="21"/>
                <w:szCs w:val="21"/>
                <w:lang w:val="en-US" w:eastAsia="zh-CN"/>
                <w14:textFill>
                  <w14:solidFill>
                    <w14:schemeClr w14:val="tx1"/>
                  </w14:solidFill>
                </w14:textFill>
              </w:rPr>
              <w:t>7</w:t>
            </w:r>
            <w:r>
              <w:rPr>
                <w:rFonts w:hint="default" w:ascii="Times New Roman" w:hAnsi="Times New Roman" w:cs="Times New Roman"/>
                <w:b/>
                <w:bCs/>
                <w:color w:val="000000" w:themeColor="text1"/>
                <w:spacing w:val="0"/>
                <w:sz w:val="21"/>
                <w:szCs w:val="21"/>
                <w14:textFill>
                  <w14:solidFill>
                    <w14:schemeClr w14:val="tx1"/>
                  </w14:solidFill>
                </w14:textFill>
              </w:rPr>
              <w:t>生产线物料平衡表</w:t>
            </w:r>
          </w:p>
          <w:tbl>
            <w:tblPr>
              <w:tblStyle w:val="26"/>
              <w:tblW w:w="845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594"/>
              <w:gridCol w:w="2301"/>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3386" w:type="dxa"/>
                  <w:gridSpan w:val="2"/>
                  <w:vAlign w:val="center"/>
                </w:tcPr>
                <w:p>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输入原料</w:t>
                  </w:r>
                </w:p>
              </w:tc>
              <w:tc>
                <w:tcPr>
                  <w:tcW w:w="5073" w:type="dxa"/>
                  <w:gridSpan w:val="2"/>
                  <w:vAlign w:val="center"/>
                </w:tcPr>
                <w:p>
                  <w:pPr>
                    <w:adjustRightInd w:val="0"/>
                    <w:snapToGrid w:val="0"/>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输出物料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名称</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t/a</w:t>
                  </w:r>
                </w:p>
              </w:tc>
              <w:tc>
                <w:tcPr>
                  <w:tcW w:w="2301"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名称</w:t>
                  </w:r>
                </w:p>
              </w:tc>
              <w:tc>
                <w:tcPr>
                  <w:tcW w:w="277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洞渣</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val="0"/>
                      <w:bCs/>
                      <w:color w:val="000000" w:themeColor="text1"/>
                      <w:lang w:val="en-US" w:eastAsia="zh-CN"/>
                      <w14:textFill>
                        <w14:solidFill>
                          <w14:schemeClr w14:val="tx1"/>
                        </w14:solidFill>
                      </w14:textFill>
                    </w:rPr>
                    <w:t>1</w:t>
                  </w:r>
                  <w:r>
                    <w:rPr>
                      <w:rFonts w:hint="eastAsia" w:ascii="Times New Roman" w:hAnsi="Times New Roman" w:cs="Times New Roman"/>
                      <w:b w:val="0"/>
                      <w:bCs/>
                      <w:color w:val="000000" w:themeColor="text1"/>
                      <w:lang w:val="en-US" w:eastAsia="zh-CN"/>
                      <w14:textFill>
                        <w14:solidFill>
                          <w14:schemeClr w14:val="tx1"/>
                        </w14:solidFill>
                      </w14:textFill>
                    </w:rPr>
                    <w:t>1000</w:t>
                  </w:r>
                  <w:r>
                    <w:rPr>
                      <w:rFonts w:hint="default" w:ascii="Times New Roman" w:hAnsi="Times New Roman" w:cs="Times New Roman"/>
                      <w:b w:val="0"/>
                      <w:bCs/>
                      <w:color w:val="000000" w:themeColor="text1"/>
                      <w:lang w:val="en-US" w:eastAsia="zh-CN"/>
                      <w14:textFill>
                        <w14:solidFill>
                          <w14:schemeClr w14:val="tx1"/>
                        </w14:solidFill>
                      </w14:textFill>
                    </w:rPr>
                    <w:t>0</w:t>
                  </w:r>
                </w:p>
              </w:tc>
              <w:tc>
                <w:tcPr>
                  <w:tcW w:w="2301"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产品</w:t>
                  </w:r>
                </w:p>
              </w:tc>
              <w:tc>
                <w:tcPr>
                  <w:tcW w:w="277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装卸粉尘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堆场扬尘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bidi="ar"/>
                      <w14:textFill>
                        <w14:solidFill>
                          <w14:schemeClr w14:val="tx1"/>
                        </w14:solidFill>
                      </w14:textFill>
                    </w:rPr>
                    <w:t>0.0</w:t>
                  </w:r>
                  <w:r>
                    <w:rPr>
                      <w:rFonts w:hint="eastAsia" w:ascii="Times New Roman" w:hAnsi="Times New Roman" w:eastAsia="宋体" w:cs="Times New Roman"/>
                      <w:color w:val="000000" w:themeColor="text1"/>
                      <w:szCs w:val="21"/>
                      <w:lang w:val="en-US" w:eastAsia="zh-CN" w:bidi="ar"/>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进料粉尘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bidi="ar"/>
                      <w14:textFill>
                        <w14:solidFill>
                          <w14:schemeClr w14:val="tx1"/>
                        </w14:solidFill>
                      </w14:textFill>
                    </w:rPr>
                  </w:pPr>
                  <w:r>
                    <w:rPr>
                      <w:rFonts w:hint="default" w:ascii="Times New Roman" w:hAnsi="Times New Roman" w:cs="Times New Roman"/>
                      <w:color w:val="000000" w:themeColor="text1"/>
                      <w:szCs w:val="21"/>
                      <w:lang w:val="en-US" w:eastAsia="zh-CN" w:bidi="ar"/>
                      <w14:textFill>
                        <w14:solidFill>
                          <w14:schemeClr w14:val="tx1"/>
                        </w14:solidFill>
                      </w14:textFill>
                    </w:rPr>
                    <w:t>0.0</w:t>
                  </w:r>
                  <w:r>
                    <w:rPr>
                      <w:rFonts w:hint="eastAsia" w:ascii="Times New Roman" w:hAnsi="Times New Roman" w:cs="Times New Roman"/>
                      <w:color w:val="000000" w:themeColor="text1"/>
                      <w:szCs w:val="21"/>
                      <w:lang w:val="en-US" w:eastAsia="zh-CN" w:bidi="ar"/>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破碎</w:t>
                  </w:r>
                  <w:r>
                    <w:rPr>
                      <w:rFonts w:hint="default" w:ascii="Times New Roman" w:hAnsi="Times New Roman" w:cs="Times New Roman"/>
                      <w:color w:val="000000" w:themeColor="text1"/>
                      <w:szCs w:val="21"/>
                      <w:lang w:val="en-US" w:eastAsia="zh-CN"/>
                      <w14:textFill>
                        <w14:solidFill>
                          <w14:schemeClr w14:val="tx1"/>
                        </w14:solidFill>
                      </w14:textFill>
                    </w:rPr>
                    <w:t>筛分</w:t>
                  </w:r>
                  <w:r>
                    <w:rPr>
                      <w:rFonts w:hint="default" w:ascii="Times New Roman" w:hAnsi="Times New Roman" w:cs="Times New Roman"/>
                      <w:color w:val="000000" w:themeColor="text1"/>
                      <w:szCs w:val="21"/>
                      <w14:textFill>
                        <w14:solidFill>
                          <w14:schemeClr w14:val="tx1"/>
                        </w14:solidFill>
                      </w14:textFill>
                    </w:rPr>
                    <w:t>粉尘</w:t>
                  </w:r>
                </w:p>
              </w:tc>
              <w:tc>
                <w:tcPr>
                  <w:tcW w:w="2772" w:type="dxa"/>
                  <w:vAlign w:val="center"/>
                </w:tcPr>
                <w:p>
                  <w:pPr>
                    <w:tabs>
                      <w:tab w:val="left" w:pos="1126"/>
                    </w:tabs>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301" w:type="dxa"/>
                  <w:vAlign w:val="center"/>
                </w:tcPr>
                <w:p>
                  <w:pPr>
                    <w:tabs>
                      <w:tab w:val="left" w:pos="1126"/>
                    </w:tabs>
                    <w:adjustRightInd w:val="0"/>
                    <w:snapToGrid w:val="0"/>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废土</w:t>
                  </w:r>
                </w:p>
              </w:tc>
              <w:tc>
                <w:tcPr>
                  <w:tcW w:w="2772"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bidi="ar"/>
                      <w14:textFill>
                        <w14:solidFill>
                          <w14:schemeClr w14:val="tx1"/>
                        </w14:solidFill>
                      </w14:textFill>
                    </w:rPr>
                    <w:t>9999.8891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792"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合计</w:t>
                  </w:r>
                </w:p>
              </w:tc>
              <w:tc>
                <w:tcPr>
                  <w:tcW w:w="1594"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default" w:ascii="Times New Roman" w:hAnsi="Times New Roman" w:cs="Times New Roman"/>
                      <w:color w:val="000000" w:themeColor="text1"/>
                      <w:szCs w:val="21"/>
                      <w14:textFill>
                        <w14:solidFill>
                          <w14:schemeClr w14:val="tx1"/>
                        </w14:solidFill>
                      </w14:textFill>
                    </w:rPr>
                    <w:t>0000</w:t>
                  </w:r>
                </w:p>
              </w:tc>
              <w:tc>
                <w:tcPr>
                  <w:tcW w:w="2301" w:type="dxa"/>
                  <w:vAlign w:val="center"/>
                </w:tcPr>
                <w:p>
                  <w:pPr>
                    <w:tabs>
                      <w:tab w:val="left" w:pos="1126"/>
                    </w:tabs>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2772"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default" w:ascii="Times New Roman" w:hAnsi="Times New Roman" w:cs="Times New Roman"/>
                      <w:color w:val="000000" w:themeColor="text1"/>
                      <w:szCs w:val="21"/>
                      <w:lang w:val="en-US" w:eastAsia="zh-CN"/>
                      <w14:textFill>
                        <w14:solidFill>
                          <w14:schemeClr w14:val="tx1"/>
                        </w14:solidFill>
                      </w14:textFill>
                    </w:rPr>
                    <w:t>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21"/>
                <w:sz w:val="24"/>
                <w:szCs w:val="24"/>
              </w:rPr>
            </w:pPr>
            <w:r>
              <w:rPr>
                <w:rFonts w:hint="eastAsia" w:ascii="Times New Roman" w:hAnsi="Times New Roman" w:eastAsia="宋体" w:cs="Times New Roman"/>
                <w:b/>
                <w:bCs/>
                <w:color w:val="auto"/>
                <w:kern w:val="21"/>
                <w:sz w:val="24"/>
                <w:szCs w:val="24"/>
                <w:lang w:val="en-US" w:eastAsia="zh-CN"/>
              </w:rPr>
              <w:t>9</w:t>
            </w:r>
            <w:r>
              <w:rPr>
                <w:rFonts w:hint="default" w:ascii="Times New Roman" w:hAnsi="Times New Roman" w:eastAsia="宋体" w:cs="Times New Roman"/>
                <w:b/>
                <w:bCs/>
                <w:color w:val="auto"/>
                <w:kern w:val="21"/>
                <w:sz w:val="24"/>
                <w:szCs w:val="24"/>
              </w:rPr>
              <w:t>、工作制度和劳动定员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21"/>
                <w:sz w:val="24"/>
                <w:szCs w:val="24"/>
                <w:lang w:val="en-US"/>
              </w:rPr>
            </w:pPr>
            <w:r>
              <w:rPr>
                <w:rFonts w:hint="default" w:ascii="Times New Roman" w:hAnsi="Times New Roman" w:eastAsia="宋体" w:cs="Times New Roman"/>
                <w:b w:val="0"/>
                <w:bCs w:val="0"/>
                <w:color w:val="auto"/>
                <w:kern w:val="21"/>
                <w:sz w:val="24"/>
                <w:szCs w:val="24"/>
              </w:rPr>
              <w:t>本项目劳动定员为</w:t>
            </w:r>
            <w:r>
              <w:rPr>
                <w:rFonts w:hint="eastAsia" w:ascii="Times New Roman" w:hAnsi="Times New Roman" w:eastAsia="宋体" w:cs="Times New Roman"/>
                <w:b w:val="0"/>
                <w:bCs w:val="0"/>
                <w:color w:val="000000" w:themeColor="text1"/>
                <w:kern w:val="21"/>
                <w:sz w:val="24"/>
                <w:szCs w:val="24"/>
                <w:lang w:val="en-US" w:eastAsia="zh-CN"/>
                <w14:textFill>
                  <w14:solidFill>
                    <w14:schemeClr w14:val="tx1"/>
                  </w14:solidFill>
                </w14:textFill>
              </w:rPr>
              <w:t>10</w:t>
            </w:r>
            <w:r>
              <w:rPr>
                <w:rFonts w:hint="default" w:ascii="Times New Roman" w:hAnsi="Times New Roman" w:eastAsia="宋体" w:cs="Times New Roman"/>
                <w:b w:val="0"/>
                <w:bCs w:val="0"/>
                <w:color w:val="auto"/>
                <w:kern w:val="21"/>
                <w:sz w:val="24"/>
                <w:szCs w:val="24"/>
              </w:rPr>
              <w:t>人</w:t>
            </w:r>
            <w:r>
              <w:rPr>
                <w:rFonts w:hint="default" w:ascii="Times New Roman" w:hAnsi="Times New Roman" w:eastAsia="宋体" w:cs="Times New Roman"/>
                <w:b w:val="0"/>
                <w:bCs w:val="0"/>
                <w:color w:val="auto"/>
                <w:kern w:val="21"/>
                <w:sz w:val="24"/>
                <w:szCs w:val="24"/>
                <w:lang w:val="en-US" w:eastAsia="zh-CN"/>
              </w:rPr>
              <w:t>，一班制，每班</w:t>
            </w:r>
            <w:r>
              <w:rPr>
                <w:rFonts w:hint="eastAsia" w:ascii="Times New Roman" w:hAnsi="Times New Roman" w:eastAsia="宋体" w:cs="Times New Roman"/>
                <w:b w:val="0"/>
                <w:bCs w:val="0"/>
                <w:color w:val="auto"/>
                <w:kern w:val="21"/>
                <w:sz w:val="24"/>
                <w:szCs w:val="24"/>
                <w:lang w:val="en-US" w:eastAsia="zh-CN"/>
              </w:rPr>
              <w:t>10</w:t>
            </w:r>
            <w:r>
              <w:rPr>
                <w:rFonts w:hint="default" w:ascii="Times New Roman" w:hAnsi="Times New Roman" w:eastAsia="宋体" w:cs="Times New Roman"/>
                <w:b w:val="0"/>
                <w:bCs w:val="0"/>
                <w:color w:val="auto"/>
                <w:kern w:val="21"/>
                <w:sz w:val="24"/>
                <w:szCs w:val="24"/>
                <w:lang w:val="en-US" w:eastAsia="zh-CN"/>
              </w:rPr>
              <w:t>小时，年工作300天，在项目区食宿。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10、运输路线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原料从狮头山隧道由汽车运至项目区加工点原料堆区，破碎筛分后的成品堆在成品区，由汽车运至距离项目187m处的拌合站，废土运输至位于项目西北侧的弃渣场。（运输路线图见附图7）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环保投资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Cs/>
                <w:color w:val="auto"/>
                <w:kern w:val="21"/>
                <w:sz w:val="24"/>
                <w:szCs w:val="24"/>
              </w:rPr>
              <w:t>项目总投资</w:t>
            </w:r>
            <w:r>
              <w:rPr>
                <w:rFonts w:hint="default" w:ascii="Times New Roman" w:hAnsi="Times New Roman" w:eastAsia="宋体" w:cs="Times New Roman"/>
                <w:color w:val="auto"/>
                <w:sz w:val="24"/>
                <w:lang w:val="en-US" w:eastAsia="zh-CN"/>
              </w:rPr>
              <w:t>100</w:t>
            </w:r>
            <w:r>
              <w:rPr>
                <w:rFonts w:hint="default" w:ascii="Times New Roman" w:hAnsi="Times New Roman" w:eastAsia="宋体" w:cs="Times New Roman"/>
                <w:bCs/>
                <w:color w:val="auto"/>
                <w:kern w:val="21"/>
                <w:sz w:val="24"/>
                <w:szCs w:val="24"/>
              </w:rPr>
              <w:t>万元，环保投资</w:t>
            </w:r>
            <w:r>
              <w:rPr>
                <w:rFonts w:hint="eastAsia" w:ascii="Times New Roman" w:hAnsi="Times New Roman" w:eastAsia="宋体" w:cs="Times New Roman"/>
                <w:bCs/>
                <w:color w:val="auto"/>
                <w:kern w:val="21"/>
                <w:sz w:val="24"/>
                <w:szCs w:val="24"/>
                <w:lang w:val="en-US" w:eastAsia="zh-CN"/>
              </w:rPr>
              <w:t>19.2</w:t>
            </w:r>
            <w:r>
              <w:rPr>
                <w:rFonts w:hint="default" w:ascii="Times New Roman" w:hAnsi="Times New Roman" w:eastAsia="宋体" w:cs="Times New Roman"/>
                <w:bCs/>
                <w:color w:val="auto"/>
                <w:kern w:val="21"/>
                <w:sz w:val="24"/>
                <w:szCs w:val="24"/>
                <w:highlight w:val="none"/>
              </w:rPr>
              <w:t>万元，占总投资的</w:t>
            </w:r>
            <w:r>
              <w:rPr>
                <w:rFonts w:hint="eastAsia" w:ascii="Times New Roman" w:hAnsi="Times New Roman" w:eastAsia="宋体" w:cs="Times New Roman"/>
                <w:bCs/>
                <w:color w:val="auto"/>
                <w:kern w:val="21"/>
                <w:sz w:val="24"/>
                <w:szCs w:val="24"/>
                <w:highlight w:val="none"/>
                <w:lang w:val="en-US" w:eastAsia="zh-CN"/>
              </w:rPr>
              <w:t>19.2</w:t>
            </w:r>
            <w:r>
              <w:rPr>
                <w:rFonts w:hint="default" w:ascii="Times New Roman" w:hAnsi="Times New Roman" w:eastAsia="宋体" w:cs="Times New Roman"/>
                <w:bCs/>
                <w:color w:val="auto"/>
                <w:kern w:val="21"/>
                <w:sz w:val="24"/>
                <w:szCs w:val="24"/>
                <w:highlight w:val="none"/>
              </w:rPr>
              <w:t>%，环保投资见下表：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eastAsia" w:ascii="Times New Roman" w:hAnsi="Times New Roman" w:eastAsia="宋体" w:cs="Times New Roman"/>
                <w:b/>
                <w:bCs/>
                <w:color w:val="auto"/>
                <w:sz w:val="21"/>
                <w:szCs w:val="21"/>
                <w:lang w:val="en-US" w:eastAsia="zh-CN"/>
              </w:rPr>
              <w:t>8</w:t>
            </w:r>
            <w:r>
              <w:rPr>
                <w:rFonts w:hint="default" w:ascii="Times New Roman" w:hAnsi="Times New Roman" w:eastAsia="宋体" w:cs="Times New Roman"/>
                <w:b/>
                <w:bCs/>
                <w:color w:val="auto"/>
                <w:sz w:val="21"/>
                <w:szCs w:val="21"/>
              </w:rPr>
              <w:t>本项目环保投资一览表</w:t>
            </w:r>
          </w:p>
          <w:tbl>
            <w:tblPr>
              <w:tblStyle w:val="27"/>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80"/>
              <w:gridCol w:w="2920"/>
              <w:gridCol w:w="706"/>
              <w:gridCol w:w="101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default" w:ascii="Times New Roman" w:hAnsi="Times New Roman" w:eastAsia="宋体" w:cs="Times New Roman"/>
                      <w:b/>
                      <w:bCs w:val="0"/>
                      <w:color w:val="auto"/>
                      <w:kern w:val="21"/>
                      <w:sz w:val="21"/>
                      <w:szCs w:val="21"/>
                      <w:highlight w:val="none"/>
                      <w:vertAlign w:val="baseline"/>
                      <w:lang w:val="en-US" w:eastAsia="zh-CN"/>
                    </w:rPr>
                    <w:t>项目</w:t>
                  </w:r>
                </w:p>
              </w:tc>
              <w:tc>
                <w:tcPr>
                  <w:tcW w:w="7649"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default" w:ascii="Times New Roman" w:hAnsi="Times New Roman" w:eastAsia="宋体" w:cs="Times New Roman"/>
                      <w:b/>
                      <w:bCs w:val="0"/>
                      <w:color w:val="auto"/>
                      <w:kern w:val="21"/>
                      <w:sz w:val="21"/>
                      <w:szCs w:val="21"/>
                      <w:highlight w:val="none"/>
                      <w:vertAlign w:val="baseline"/>
                      <w:lang w:val="en-US" w:eastAsia="zh-CN"/>
                    </w:rPr>
                    <w:t>环保措施内容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设备名称</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规格</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数量</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default" w:ascii="Times New Roman" w:hAnsi="Times New Roman" w:eastAsia="宋体" w:cs="Times New Roman"/>
                      <w:b/>
                      <w:bCs w:val="0"/>
                      <w:color w:val="auto"/>
                      <w:kern w:val="21"/>
                      <w:sz w:val="21"/>
                      <w:szCs w:val="21"/>
                      <w:highlight w:val="none"/>
                      <w:vertAlign w:val="baseline"/>
                      <w:lang w:val="en-US" w:eastAsia="zh-CN"/>
                    </w:rPr>
                    <w:t>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bidi="ar-SA"/>
                    </w:rPr>
                  </w:pPr>
                  <w:r>
                    <w:rPr>
                      <w:rFonts w:hint="default" w:ascii="Times New Roman" w:hAnsi="Times New Roman" w:eastAsia="宋体" w:cs="Times New Roman"/>
                      <w:b/>
                      <w:bCs w:val="0"/>
                      <w:color w:val="auto"/>
                      <w:kern w:val="21"/>
                      <w:sz w:val="21"/>
                      <w:szCs w:val="21"/>
                      <w:highlight w:val="none"/>
                      <w:vertAlign w:val="baseline"/>
                      <w:lang w:val="en-US" w:eastAsia="zh-CN"/>
                    </w:rPr>
                    <w:t>（万元）</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
                      <w:bCs w:val="0"/>
                      <w:color w:val="auto"/>
                      <w:kern w:val="21"/>
                      <w:sz w:val="21"/>
                      <w:szCs w:val="21"/>
                      <w:highlight w:val="none"/>
                      <w:vertAlign w:val="baseline"/>
                      <w:lang w:val="en-US" w:eastAsia="zh-CN"/>
                    </w:rPr>
                  </w:pPr>
                  <w:r>
                    <w:rPr>
                      <w:rFonts w:hint="eastAsia" w:ascii="Times New Roman" w:hAnsi="Times New Roman" w:eastAsia="宋体" w:cs="Times New Roman"/>
                      <w:b/>
                      <w:bCs w:val="0"/>
                      <w:color w:val="auto"/>
                      <w:kern w:val="21"/>
                      <w:sz w:val="21"/>
                      <w:szCs w:val="21"/>
                      <w:highlight w:val="none"/>
                      <w:vertAlign w:val="baseline"/>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val="0"/>
                      <w:color w:val="auto"/>
                      <w:kern w:val="21"/>
                      <w:sz w:val="21"/>
                      <w:szCs w:val="21"/>
                      <w:highlight w:val="none"/>
                      <w:vertAlign w:val="baseline"/>
                      <w:lang w:val="en-US" w:eastAsia="zh-CN"/>
                    </w:rPr>
                  </w:pPr>
                  <w:r>
                    <w:rPr>
                      <w:rFonts w:hint="eastAsia" w:ascii="Times New Roman" w:hAnsi="Times New Roman" w:eastAsia="宋体" w:cs="Times New Roman"/>
                      <w:b/>
                      <w:bCs w:val="0"/>
                      <w:color w:val="auto"/>
                      <w:kern w:val="21"/>
                      <w:sz w:val="21"/>
                      <w:szCs w:val="21"/>
                      <w:highlight w:val="none"/>
                      <w:vertAlign w:val="baseline"/>
                      <w:lang w:val="en-US" w:eastAsia="zh-CN"/>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水污染治理措施</w:t>
                  </w: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default" w:ascii="Times New Roman" w:hAnsi="Times New Roman" w:eastAsia="宋体" w:cs="Times New Roman"/>
                      <w:bCs/>
                      <w:color w:val="auto"/>
                      <w:kern w:val="21"/>
                      <w:sz w:val="21"/>
                      <w:szCs w:val="21"/>
                      <w:highlight w:val="none"/>
                      <w:vertAlign w:val="baseline"/>
                      <w:lang w:val="en-US" w:eastAsia="zh-CN"/>
                    </w:rPr>
                    <w:t>初期雨水收集池</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50</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default" w:ascii="Times New Roman" w:hAnsi="Times New Roman" w:eastAsia="宋体" w:cs="Times New Roman"/>
                      <w:bCs/>
                      <w:color w:val="auto"/>
                      <w:kern w:val="21"/>
                      <w:sz w:val="21"/>
                      <w:szCs w:val="21"/>
                      <w:highlight w:val="none"/>
                      <w:vertAlign w:val="baseline"/>
                      <w:lang w:val="en-US" w:eastAsia="zh-CN"/>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bidi="ar-SA"/>
                    </w:rPr>
                    <w:t>1</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沉淀池</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50</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r>
                    <w:rPr>
                      <w:rFonts w:hint="eastAsia" w:ascii="Times New Roman" w:hAnsi="Times New Roman" w:eastAsia="宋体" w:cs="Times New Roman"/>
                      <w:bCs/>
                      <w:color w:val="auto"/>
                      <w:kern w:val="21"/>
                      <w:sz w:val="21"/>
                      <w:szCs w:val="21"/>
                      <w:highlight w:val="none"/>
                      <w:vertAlign w:val="baseline"/>
                      <w:lang w:val="en-US" w:eastAsia="zh-CN"/>
                    </w:rPr>
                    <w:t>/个</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3个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3</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污水收集池</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snapToGrid/>
                      <w:color w:val="auto"/>
                      <w:spacing w:val="0"/>
                      <w:kern w:val="0"/>
                      <w:sz w:val="21"/>
                      <w:szCs w:val="21"/>
                      <w:highlight w:val="none"/>
                      <w:lang w:val="en-US" w:eastAsia="zh-CN" w:bidi="zh-CN"/>
                    </w:rPr>
                    <w:t>5</w:t>
                  </w:r>
                  <w:r>
                    <w:rPr>
                      <w:rFonts w:hint="default" w:ascii="Times New Roman" w:hAnsi="Times New Roman" w:eastAsia="宋体" w:cs="Times New Roman"/>
                      <w:snapToGrid/>
                      <w:color w:val="auto"/>
                      <w:spacing w:val="0"/>
                      <w:kern w:val="0"/>
                      <w:sz w:val="21"/>
                      <w:szCs w:val="21"/>
                      <w:highlight w:val="none"/>
                      <w:lang w:val="en-US" w:eastAsia="zh-CN" w:bidi="zh-CN"/>
                    </w:rPr>
                    <w:t>m</w:t>
                  </w:r>
                  <w:r>
                    <w:rPr>
                      <w:rFonts w:hint="default" w:ascii="Times New Roman" w:hAnsi="Times New Roman" w:eastAsia="宋体" w:cs="Times New Roman"/>
                      <w:snapToGrid/>
                      <w:color w:val="auto"/>
                      <w:spacing w:val="0"/>
                      <w:kern w:val="0"/>
                      <w:sz w:val="21"/>
                      <w:szCs w:val="21"/>
                      <w:highlight w:val="none"/>
                      <w:vertAlign w:val="superscript"/>
                      <w:lang w:val="en-US" w:eastAsia="zh-CN" w:bidi="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1.5</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旱厕</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snapToGrid/>
                      <w:color w:val="auto"/>
                      <w:spacing w:val="0"/>
                      <w:kern w:val="0"/>
                      <w:sz w:val="21"/>
                      <w:szCs w:val="21"/>
                      <w:highlight w:val="none"/>
                      <w:lang w:val="en-US" w:eastAsia="zh-CN" w:bidi="zh-CN"/>
                    </w:rPr>
                    <w:t>3</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1.5</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bidi="ar-SA"/>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水油分离器</w:t>
                  </w:r>
                </w:p>
              </w:tc>
              <w:tc>
                <w:tcPr>
                  <w:tcW w:w="292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sz w:val="21"/>
                      <w:szCs w:val="21"/>
                      <w:highlight w:val="none"/>
                      <w:lang w:val="en-US" w:eastAsia="zh-CN" w:bidi="zh-CN"/>
                    </w:rPr>
                  </w:pPr>
                  <w:r>
                    <w:rPr>
                      <w:rFonts w:hint="eastAsia" w:ascii="Times New Roman" w:hAnsi="Times New Roman" w:eastAsia="宋体" w:cs="Times New Roman"/>
                      <w:bCs/>
                      <w:color w:val="auto"/>
                      <w:kern w:val="21"/>
                      <w:sz w:val="21"/>
                      <w:szCs w:val="21"/>
                      <w:highlight w:val="none"/>
                      <w:vertAlign w:val="baseline"/>
                      <w:lang w:val="en-US" w:eastAsia="zh-CN" w:bidi="ar-SA"/>
                    </w:rPr>
                    <w:t>0.3</w:t>
                  </w:r>
                  <w:r>
                    <w:rPr>
                      <w:rFonts w:hint="default" w:ascii="Times New Roman" w:hAnsi="Times New Roman" w:eastAsia="宋体" w:cs="Times New Roman"/>
                      <w:bCs/>
                      <w:color w:val="auto"/>
                      <w:kern w:val="21"/>
                      <w:sz w:val="21"/>
                      <w:szCs w:val="21"/>
                      <w:highlight w:val="none"/>
                      <w:vertAlign w:val="baseline"/>
                      <w:lang w:val="en-US" w:eastAsia="zh-CN"/>
                    </w:rPr>
                    <w:t>m</w:t>
                  </w:r>
                  <w:r>
                    <w:rPr>
                      <w:rFonts w:hint="default" w:ascii="Times New Roman" w:hAnsi="Times New Roman" w:eastAsia="宋体" w:cs="Times New Roman"/>
                      <w:bCs/>
                      <w:color w:val="auto"/>
                      <w:kern w:val="21"/>
                      <w:sz w:val="21"/>
                      <w:szCs w:val="21"/>
                      <w:highlight w:val="none"/>
                      <w:vertAlign w:val="superscript"/>
                      <w:lang w:val="en-US" w:eastAsia="zh-CN"/>
                    </w:rPr>
                    <w:t>3</w:t>
                  </w:r>
                </w:p>
              </w:tc>
              <w:tc>
                <w:tcPr>
                  <w:tcW w:w="70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1个</w:t>
                  </w:r>
                </w:p>
              </w:tc>
              <w:tc>
                <w:tcPr>
                  <w:tcW w:w="1014"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0.1</w:t>
                  </w:r>
                </w:p>
              </w:tc>
              <w:tc>
                <w:tcPr>
                  <w:tcW w:w="729"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大气污染防治</w:t>
                  </w:r>
                </w:p>
              </w:tc>
              <w:tc>
                <w:tcPr>
                  <w:tcW w:w="2280"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车间喷淋装置</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3</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布袋除尘</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p>
              </w:tc>
              <w:tc>
                <w:tcPr>
                  <w:tcW w:w="2280"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color w:val="auto"/>
                      <w:sz w:val="21"/>
                      <w:szCs w:val="21"/>
                      <w:highlight w:val="none"/>
                      <w:lang w:val="en-US" w:eastAsia="zh-CN"/>
                    </w:rPr>
                  </w:pPr>
                  <w:r>
                    <w:rPr>
                      <w:rStyle w:val="32"/>
                      <w:rFonts w:hint="eastAsia"/>
                      <w:color w:val="auto"/>
                      <w:kern w:val="0"/>
                    </w:rPr>
                    <w:t>洒水</w:t>
                  </w:r>
                  <w:r>
                    <w:rPr>
                      <w:rStyle w:val="32"/>
                      <w:rFonts w:hint="eastAsia"/>
                      <w:color w:val="auto"/>
                      <w:kern w:val="0"/>
                      <w:lang w:val="en-US" w:eastAsia="zh-CN"/>
                    </w:rPr>
                    <w:t>车</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kern w:val="0"/>
                      <w:sz w:val="21"/>
                      <w:szCs w:val="21"/>
                      <w:highlight w:val="none"/>
                      <w:lang w:val="en-US" w:eastAsia="zh-CN" w:bidi="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eastAsia" w:ascii="Times New Roman" w:hAnsi="Times New Roman" w:eastAsia="宋体" w:cs="Times New Roman"/>
                      <w:color w:val="auto"/>
                      <w:kern w:val="0"/>
                      <w:sz w:val="21"/>
                      <w:szCs w:val="21"/>
                      <w:highlight w:val="none"/>
                      <w:lang w:val="en-US" w:eastAsia="zh-CN" w:bidi="zh-CN"/>
                    </w:rPr>
                    <w:t>1辆</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1</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噪声污染防治</w:t>
                  </w: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厂房隔音、设备基本减震</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default" w:ascii="Times New Roman" w:hAnsi="Times New Roman" w:eastAsia="宋体" w:cs="Times New Roman"/>
                      <w:bCs/>
                      <w:color w:val="auto"/>
                      <w:kern w:val="21"/>
                      <w:sz w:val="21"/>
                      <w:szCs w:val="21"/>
                      <w:highlight w:val="none"/>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固废防治措施</w:t>
                  </w: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垃圾桶</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若干</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0.</w:t>
                  </w:r>
                  <w:r>
                    <w:rPr>
                      <w:rFonts w:hint="default" w:ascii="Times New Roman" w:hAnsi="Times New Roman" w:eastAsia="宋体" w:cs="Times New Roman"/>
                      <w:bCs/>
                      <w:color w:val="auto"/>
                      <w:kern w:val="21"/>
                      <w:sz w:val="21"/>
                      <w:szCs w:val="21"/>
                      <w:vertAlign w:val="baseline"/>
                      <w:lang w:val="en-US" w:eastAsia="zh-CN"/>
                    </w:rPr>
                    <w:t>1</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p>
              </w:tc>
              <w:tc>
                <w:tcPr>
                  <w:tcW w:w="22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危废暂存间</w:t>
                  </w:r>
                </w:p>
              </w:tc>
              <w:tc>
                <w:tcPr>
                  <w:tcW w:w="2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15m</w:t>
                  </w:r>
                  <w:r>
                    <w:rPr>
                      <w:rFonts w:hint="default" w:ascii="Times New Roman" w:hAnsi="Times New Roman" w:eastAsia="宋体" w:cs="Times New Roman"/>
                      <w:bCs/>
                      <w:color w:val="auto"/>
                      <w:kern w:val="21"/>
                      <w:sz w:val="21"/>
                      <w:szCs w:val="21"/>
                      <w:vertAlign w:val="superscript"/>
                      <w:lang w:val="en-US" w:eastAsia="zh-CN"/>
                    </w:rPr>
                    <w:t>2</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1间</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15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生态恢复</w:t>
                  </w:r>
                </w:p>
              </w:tc>
              <w:tc>
                <w:tcPr>
                  <w:tcW w:w="7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2</w:t>
                  </w:r>
                </w:p>
              </w:tc>
              <w:tc>
                <w:tcPr>
                  <w:tcW w:w="7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kern w:val="21"/>
                      <w:sz w:val="21"/>
                      <w:szCs w:val="21"/>
                      <w:highlight w:val="none"/>
                      <w:vertAlign w:val="baseline"/>
                      <w:lang w:val="en-US" w:eastAsia="zh-CN"/>
                    </w:rPr>
                  </w:pPr>
                  <w:r>
                    <w:rPr>
                      <w:rFonts w:hint="eastAsia" w:ascii="Times New Roman" w:hAnsi="Times New Roman" w:eastAsia="宋体" w:cs="Times New Roman"/>
                      <w:bCs/>
                      <w:color w:val="auto"/>
                      <w:kern w:val="21"/>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59"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default" w:ascii="Times New Roman" w:hAnsi="Times New Roman" w:eastAsia="宋体" w:cs="Times New Roman"/>
                      <w:bCs/>
                      <w:color w:val="auto"/>
                      <w:kern w:val="21"/>
                      <w:sz w:val="21"/>
                      <w:szCs w:val="21"/>
                      <w:vertAlign w:val="baseline"/>
                      <w:lang w:val="en-US" w:eastAsia="zh-CN"/>
                    </w:rPr>
                    <w:t>合计</w:t>
                  </w:r>
                </w:p>
              </w:tc>
              <w:tc>
                <w:tcPr>
                  <w:tcW w:w="174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21"/>
                      <w:sz w:val="21"/>
                      <w:szCs w:val="21"/>
                      <w:vertAlign w:val="baseline"/>
                      <w:lang w:val="en-US" w:eastAsia="zh-CN"/>
                    </w:rPr>
                  </w:pPr>
                  <w:r>
                    <w:rPr>
                      <w:rFonts w:hint="eastAsia" w:ascii="Times New Roman" w:hAnsi="Times New Roman" w:eastAsia="宋体" w:cs="Times New Roman"/>
                      <w:bCs/>
                      <w:color w:val="auto"/>
                      <w:kern w:val="21"/>
                      <w:sz w:val="21"/>
                      <w:szCs w:val="21"/>
                      <w:vertAlign w:val="baseline"/>
                      <w:lang w:val="en-US" w:eastAsia="zh-CN"/>
                    </w:rPr>
                    <w:t>19.2</w:t>
                  </w:r>
                </w:p>
              </w:tc>
            </w:tr>
          </w:tbl>
          <w:p>
            <w:pPr>
              <w:adjustRightInd w:val="0"/>
              <w:snapToGrid w:val="0"/>
              <w:spacing w:line="360" w:lineRule="auto"/>
              <w:rPr>
                <w:rFonts w:hint="default" w:ascii="Times New Roman" w:hAnsi="Times New Roman" w:eastAsia="宋体" w:cs="Times New Roman"/>
                <w:bCs/>
                <w:color w:val="auto"/>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color w:val="auto"/>
                <w:kern w:val="21"/>
                <w:szCs w:val="24"/>
              </w:rPr>
              <w:t>工艺流程和产排污环节</w:t>
            </w:r>
          </w:p>
        </w:tc>
        <w:tc>
          <w:tcPr>
            <w:tcW w:w="8828" w:type="dxa"/>
            <w:vAlign w:val="center"/>
          </w:tcPr>
          <w:p>
            <w:pPr>
              <w:numPr>
                <w:ilvl w:val="0"/>
                <w:numId w:val="0"/>
              </w:numPr>
              <w:spacing w:line="360" w:lineRule="auto"/>
              <w:rPr>
                <w:rFonts w:hint="default" w:ascii="Times New Roman" w:hAnsi="Times New Roman" w:eastAsia="宋体" w:cs="Times New Roman"/>
                <w:b/>
                <w:bCs/>
                <w:color w:val="auto"/>
                <w:kern w:val="0"/>
                <w:sz w:val="24"/>
                <w:szCs w:val="24"/>
                <w:lang w:bidi="ar"/>
              </w:rPr>
            </w:pPr>
            <w:r>
              <w:rPr>
                <w:rFonts w:hint="eastAsia" w:ascii="Times New Roman" w:hAnsi="Times New Roman" w:eastAsia="宋体" w:cs="Times New Roman"/>
                <w:b/>
                <w:bCs/>
                <w:color w:val="auto"/>
                <w:kern w:val="0"/>
                <w:sz w:val="24"/>
                <w:szCs w:val="24"/>
                <w:lang w:val="en-US" w:eastAsia="zh-CN" w:bidi="ar"/>
              </w:rPr>
              <w:t>一</w:t>
            </w:r>
            <w:r>
              <w:rPr>
                <w:rFonts w:hint="default" w:ascii="Times New Roman" w:hAnsi="Times New Roman" w:eastAsia="宋体" w:cs="Times New Roman"/>
                <w:b/>
                <w:bCs/>
                <w:color w:val="auto"/>
                <w:kern w:val="0"/>
                <w:sz w:val="24"/>
                <w:szCs w:val="24"/>
                <w:lang w:eastAsia="zh-CN" w:bidi="ar"/>
              </w:rPr>
              <w:t>、</w:t>
            </w:r>
            <w:r>
              <w:rPr>
                <w:rFonts w:hint="default" w:ascii="Times New Roman" w:hAnsi="Times New Roman" w:eastAsia="宋体" w:cs="Times New Roman"/>
                <w:b/>
                <w:bCs/>
                <w:color w:val="auto"/>
                <w:kern w:val="0"/>
                <w:sz w:val="24"/>
                <w:szCs w:val="24"/>
                <w:lang w:bidi="ar"/>
              </w:rPr>
              <w:t>运营期工艺流程和产排污环节</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color w:val="auto"/>
                <w:kern w:val="21"/>
                <w:sz w:val="24"/>
                <w:szCs w:val="24"/>
                <w:lang w:val="en-US" w:eastAsia="zh-CN"/>
              </w:rPr>
            </w:pPr>
            <w:r>
              <w:rPr>
                <w:rFonts w:hint="default" w:ascii="Times New Roman" w:hAnsi="Times New Roman" w:eastAsia="宋体" w:cs="Times New Roman"/>
                <w:b/>
                <w:bCs/>
                <w:color w:val="auto"/>
                <w:sz w:val="24"/>
                <w:szCs w:val="24"/>
                <w:lang w:val="en-US" w:eastAsia="zh-CN"/>
              </w:rPr>
              <w:t>1、砂石料生产线</w:t>
            </w:r>
            <w:r>
              <w:rPr>
                <w:rFonts w:hint="default" w:ascii="Times New Roman" w:hAnsi="Times New Roman" w:eastAsia="宋体" w:cs="Times New Roman"/>
                <w:b/>
                <w:bCs/>
                <w:color w:val="auto"/>
                <w:kern w:val="21"/>
                <w:sz w:val="24"/>
                <w:szCs w:val="24"/>
                <w:lang w:val="en-US" w:eastAsia="zh-CN"/>
              </w:rPr>
              <w:t>工艺流程</w:t>
            </w:r>
          </w:p>
          <w:p>
            <w:pPr>
              <w:rPr>
                <w:rFonts w:hint="default" w:ascii="Times New Roman" w:hAnsi="Times New Roman" w:eastAsia="宋体" w:cs="Times New Roman"/>
                <w:b/>
                <w:bCs/>
                <w:color w:val="auto"/>
                <w:kern w:val="21"/>
                <w:sz w:val="24"/>
                <w:szCs w:val="24"/>
                <w:lang w:val="en-US" w:eastAsia="zh-CN"/>
              </w:rPr>
            </w:pPr>
          </w:p>
          <w:p>
            <w:pPr>
              <w:pStyle w:val="24"/>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object>
                <v:shape id="_x0000_i1027" o:spt="75" type="#_x0000_t75" style="height:363.85pt;width:293.9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widowControl/>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kern w:val="0"/>
                <w:sz w:val="21"/>
                <w:szCs w:val="21"/>
                <w:lang w:bidi="ar"/>
              </w:rPr>
              <w:t>图2-</w:t>
            </w:r>
            <w:r>
              <w:rPr>
                <w:rFonts w:hint="eastAsia" w:ascii="Times New Roman" w:hAnsi="Times New Roman" w:eastAsia="宋体" w:cs="Times New Roman"/>
                <w:b/>
                <w:bCs/>
                <w:color w:val="auto"/>
                <w:kern w:val="0"/>
                <w:sz w:val="21"/>
                <w:szCs w:val="21"/>
                <w:lang w:val="en-US" w:eastAsia="zh-CN" w:bidi="ar"/>
              </w:rPr>
              <w:t>3</w:t>
            </w:r>
            <w:r>
              <w:rPr>
                <w:rFonts w:hint="default" w:ascii="Times New Roman" w:hAnsi="Times New Roman" w:eastAsia="宋体" w:cs="Times New Roman"/>
                <w:b/>
                <w:bCs/>
                <w:color w:val="auto"/>
                <w:kern w:val="0"/>
                <w:sz w:val="21"/>
                <w:szCs w:val="21"/>
                <w:lang w:val="en-US" w:eastAsia="zh-CN" w:bidi="ar"/>
              </w:rPr>
              <w:t>砂石料</w:t>
            </w:r>
            <w:r>
              <w:rPr>
                <w:rFonts w:hint="default" w:ascii="Times New Roman" w:hAnsi="Times New Roman" w:eastAsia="宋体" w:cs="Times New Roman"/>
                <w:b/>
                <w:bCs/>
                <w:color w:val="auto"/>
                <w:kern w:val="21"/>
                <w:sz w:val="21"/>
                <w:szCs w:val="21"/>
                <w:lang w:val="en-US" w:eastAsia="zh-CN"/>
              </w:rPr>
              <w:t>生产线工艺流程图</w:t>
            </w:r>
          </w:p>
          <w:p>
            <w:pPr>
              <w:pStyle w:val="24"/>
              <w:ind w:left="0" w:leftChars="0" w:firstLine="482" w:firstLineChars="200"/>
              <w:rPr>
                <w:rFonts w:hint="default" w:ascii="Times New Roman" w:hAnsi="Times New Roman" w:eastAsia="宋体" w:cs="Times New Roman"/>
                <w:b/>
                <w:bCs/>
                <w:color w:val="auto"/>
                <w:kern w:val="21"/>
                <w:sz w:val="24"/>
                <w:szCs w:val="24"/>
                <w:lang w:val="en-US" w:eastAsia="zh-CN"/>
              </w:rPr>
            </w:pPr>
            <w:r>
              <w:rPr>
                <w:rFonts w:hint="default" w:ascii="Times New Roman" w:hAnsi="Times New Roman" w:eastAsia="宋体" w:cs="Times New Roman"/>
                <w:b/>
                <w:bCs/>
                <w:color w:val="auto"/>
                <w:kern w:val="21"/>
                <w:sz w:val="24"/>
                <w:szCs w:val="24"/>
                <w:lang w:val="en-US" w:eastAsia="zh-CN"/>
              </w:rPr>
              <w:t>工艺流程简述：</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w:t>
            </w:r>
            <w:r>
              <w:rPr>
                <w:rFonts w:hint="default" w:ascii="Times New Roman" w:hAnsi="Times New Roman" w:eastAsia="宋体" w:cs="Times New Roman"/>
                <w:b w:val="0"/>
                <w:bCs w:val="0"/>
                <w:kern w:val="2"/>
                <w:sz w:val="24"/>
                <w:szCs w:val="24"/>
                <w:lang w:val="en-US" w:eastAsia="zh-CN" w:bidi="ar-SA"/>
              </w:rPr>
              <w:t>原料准备阶段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从隧道弃渣获取大块的石料，通过运输工具（如卡车等）将其运送至加工场的原料堆场。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生产排污环节：粉尘排放。措施：定期进行洒水降尘。</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（2）</w:t>
            </w:r>
            <w:r>
              <w:rPr>
                <w:rFonts w:hint="default" w:ascii="Times New Roman" w:hAnsi="Times New Roman" w:eastAsia="宋体" w:cs="Times New Roman"/>
                <w:b w:val="0"/>
                <w:bCs w:val="0"/>
                <w:kern w:val="2"/>
                <w:sz w:val="24"/>
                <w:szCs w:val="24"/>
                <w:lang w:val="en-US" w:eastAsia="zh-CN" w:bidi="ar-SA"/>
              </w:rPr>
              <w:t>给料阶段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原料堆场的石料通过给料机均匀地输送到破碎机中，给料机起到控制进料速度和量的作用，确保破碎机能够稳定地进行破碎工作。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生产排污环节：粉尘排放，措施：喷淋+厂房阻隔。</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（3）</w:t>
            </w:r>
            <w:r>
              <w:rPr>
                <w:rFonts w:hint="default" w:ascii="Times New Roman" w:hAnsi="Times New Roman" w:eastAsia="宋体" w:cs="Times New Roman"/>
                <w:b w:val="0"/>
                <w:bCs w:val="0"/>
                <w:kern w:val="2"/>
                <w:sz w:val="24"/>
                <w:szCs w:val="24"/>
                <w:lang w:val="en-US" w:eastAsia="zh-CN" w:bidi="ar-SA"/>
              </w:rPr>
              <w:t>破碎</w:t>
            </w:r>
            <w:r>
              <w:rPr>
                <w:rFonts w:hint="eastAsia" w:ascii="Times New Roman" w:hAnsi="Times New Roman" w:eastAsia="宋体" w:cs="Times New Roman"/>
                <w:b w:val="0"/>
                <w:bCs w:val="0"/>
                <w:kern w:val="2"/>
                <w:sz w:val="24"/>
                <w:szCs w:val="24"/>
                <w:lang w:val="en-US" w:eastAsia="zh-CN" w:bidi="ar-SA"/>
              </w:rPr>
              <w:t>、筛分</w:t>
            </w:r>
            <w:r>
              <w:rPr>
                <w:rFonts w:hint="default" w:ascii="Times New Roman" w:hAnsi="Times New Roman" w:eastAsia="宋体" w:cs="Times New Roman"/>
                <w:b w:val="0"/>
                <w:bCs w:val="0"/>
                <w:kern w:val="2"/>
                <w:sz w:val="24"/>
                <w:szCs w:val="24"/>
                <w:lang w:val="en-US" w:eastAsia="zh-CN" w:bidi="ar-SA"/>
              </w:rPr>
              <w:t>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石料进入颚式破碎机进行粗碎，</w:t>
            </w:r>
            <w:r>
              <w:rPr>
                <w:rFonts w:hint="eastAsia" w:ascii="Times New Roman" w:hAnsi="Times New Roman" w:eastAsia="宋体" w:cs="Times New Roman"/>
                <w:sz w:val="24"/>
                <w:szCs w:val="24"/>
                <w:lang w:val="en-US" w:eastAsia="zh-CN"/>
              </w:rPr>
              <w:t>在破碎机入口加水进行湿法作业，</w:t>
            </w:r>
            <w:r>
              <w:rPr>
                <w:rFonts w:hint="default" w:ascii="Times New Roman" w:hAnsi="Times New Roman" w:eastAsia="宋体" w:cs="Times New Roman"/>
                <w:sz w:val="24"/>
                <w:szCs w:val="24"/>
                <w:lang w:val="en-US" w:eastAsia="zh-CN"/>
              </w:rPr>
              <w:t>在破碎机的作用下被破碎成较小的颗粒。粗碎后的石料进入圆锥破碎机进行中碎，之后进入预筛分。破碎后的石料通过输送带输送到筛分设备，筛分设备根据石料的粒度大小将其分成不同的规格，</w:t>
            </w:r>
            <w:r>
              <w:rPr>
                <w:rFonts w:hint="default" w:ascii="Times New Roman" w:hAnsi="Times New Roman" w:eastAsia="宋体" w:cs="Times New Roman"/>
                <w:color w:val="auto"/>
                <w:kern w:val="2"/>
                <w:sz w:val="24"/>
                <w:szCs w:val="24"/>
                <w:lang w:val="en-US" w:eastAsia="zh-CN" w:bidi="ar-SA"/>
              </w:rPr>
              <w:t>25～31.5mm</w:t>
            </w:r>
            <w:r>
              <w:rPr>
                <w:rFonts w:hint="default" w:ascii="Times New Roman" w:hAnsi="Times New Roman" w:eastAsia="宋体" w:cs="Times New Roman"/>
                <w:sz w:val="24"/>
                <w:szCs w:val="24"/>
                <w:lang w:val="en-US" w:eastAsia="zh-CN"/>
              </w:rPr>
              <w:t>的石料（成品中大骨料）进入成品堆料仓，大于</w:t>
            </w:r>
            <w:r>
              <w:rPr>
                <w:rFonts w:hint="default" w:ascii="Times New Roman" w:hAnsi="Times New Roman" w:eastAsia="宋体" w:cs="Times New Roman"/>
                <w:color w:val="auto"/>
                <w:kern w:val="2"/>
                <w:sz w:val="24"/>
                <w:szCs w:val="24"/>
                <w:lang w:val="en-US" w:eastAsia="zh-CN" w:bidi="ar-SA"/>
              </w:rPr>
              <w:t>31.5mm</w:t>
            </w:r>
            <w:r>
              <w:rPr>
                <w:rFonts w:hint="default" w:ascii="Times New Roman" w:hAnsi="Times New Roman" w:eastAsia="宋体" w:cs="Times New Roman"/>
                <w:sz w:val="24"/>
                <w:szCs w:val="24"/>
                <w:lang w:val="en-US" w:eastAsia="zh-CN"/>
              </w:rPr>
              <w:t>的石料则返回破碎机进行再次破碎，小于</w:t>
            </w:r>
            <w:r>
              <w:rPr>
                <w:rFonts w:hint="default" w:ascii="Times New Roman" w:hAnsi="Times New Roman" w:eastAsia="宋体" w:cs="Times New Roman"/>
                <w:color w:val="auto"/>
                <w:kern w:val="2"/>
                <w:sz w:val="24"/>
                <w:szCs w:val="24"/>
                <w:lang w:val="en-US" w:eastAsia="zh-CN" w:bidi="ar-SA"/>
              </w:rPr>
              <w:t>25mm</w:t>
            </w:r>
            <w:r>
              <w:rPr>
                <w:rFonts w:hint="default" w:ascii="Times New Roman" w:hAnsi="Times New Roman" w:eastAsia="宋体" w:cs="Times New Roman"/>
                <w:sz w:val="24"/>
                <w:szCs w:val="24"/>
                <w:lang w:val="en-US" w:eastAsia="zh-CN"/>
              </w:rPr>
              <w:t>的石料进入立式制砂机。小于</w:t>
            </w:r>
            <w:r>
              <w:rPr>
                <w:rFonts w:hint="default" w:ascii="Times New Roman" w:hAnsi="Times New Roman" w:eastAsia="宋体" w:cs="Times New Roman"/>
                <w:color w:val="auto"/>
                <w:kern w:val="2"/>
                <w:sz w:val="24"/>
                <w:szCs w:val="24"/>
                <w:lang w:val="en-US" w:eastAsia="zh-CN" w:bidi="ar-SA"/>
              </w:rPr>
              <w:t>25mm</w:t>
            </w:r>
            <w:r>
              <w:rPr>
                <w:rFonts w:hint="default" w:ascii="Times New Roman" w:hAnsi="Times New Roman" w:eastAsia="宋体" w:cs="Times New Roman"/>
                <w:sz w:val="24"/>
                <w:szCs w:val="24"/>
                <w:lang w:val="en-US" w:eastAsia="zh-CN"/>
              </w:rPr>
              <w:t>的石料进入立式制砂机继续加工破碎，之后进入检查筛分阶段，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生产排污环节：粉尘排放，措施：喷淋+</w:t>
            </w:r>
            <w:r>
              <w:rPr>
                <w:rFonts w:hint="eastAsia" w:ascii="Times New Roman" w:hAnsi="Times New Roman" w:eastAsia="宋体" w:cs="Times New Roman"/>
                <w:sz w:val="24"/>
                <w:szCs w:val="24"/>
                <w:lang w:val="en-US" w:eastAsia="zh-CN"/>
              </w:rPr>
              <w:t>布袋除尘+</w:t>
            </w:r>
            <w:r>
              <w:rPr>
                <w:rFonts w:hint="default" w:ascii="Times New Roman" w:hAnsi="Times New Roman" w:eastAsia="宋体" w:cs="Times New Roman"/>
                <w:sz w:val="24"/>
                <w:szCs w:val="24"/>
                <w:lang w:val="en-US" w:eastAsia="zh-CN"/>
              </w:rPr>
              <w:t>厂房阻隔。</w:t>
            </w:r>
          </w:p>
          <w:p>
            <w:pPr>
              <w:pStyle w:val="25"/>
              <w:keepNext w:val="0"/>
              <w:keepLines w:val="0"/>
              <w:pageBreakBefore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检查筛分、洗沙、洗石阶段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筛分设备根据石料的粒度大小将其分成不同的规格：</w:t>
            </w:r>
            <w:r>
              <w:rPr>
                <w:rFonts w:hint="eastAsia" w:ascii="Times New Roman" w:hAnsi="Times New Roman" w:eastAsia="宋体" w:cs="Times New Roman"/>
                <w:sz w:val="24"/>
                <w:szCs w:val="24"/>
                <w:lang w:val="en-US" w:eastAsia="zh-CN"/>
              </w:rPr>
              <w:t>部分</w:t>
            </w:r>
            <w:r>
              <w:rPr>
                <w:rFonts w:hint="default" w:ascii="Times New Roman" w:hAnsi="Times New Roman" w:eastAsia="宋体" w:cs="Times New Roman"/>
                <w:sz w:val="24"/>
                <w:szCs w:val="24"/>
                <w:lang w:val="en-US" w:eastAsia="zh-CN"/>
              </w:rPr>
              <w:t>石料进入洗沙</w:t>
            </w:r>
            <w:r>
              <w:rPr>
                <w:rFonts w:hint="eastAsia" w:ascii="Times New Roman" w:hAnsi="Times New Roman" w:eastAsia="宋体" w:cs="Times New Roman"/>
                <w:sz w:val="24"/>
                <w:szCs w:val="24"/>
                <w:lang w:val="en-US" w:eastAsia="zh-CN"/>
              </w:rPr>
              <w:t>机</w:t>
            </w:r>
            <w:r>
              <w:rPr>
                <w:rFonts w:hint="default" w:ascii="Times New Roman" w:hAnsi="Times New Roman" w:eastAsia="宋体" w:cs="Times New Roman"/>
                <w:sz w:val="24"/>
                <w:szCs w:val="24"/>
                <w:lang w:val="en-US" w:eastAsia="zh-CN"/>
              </w:rPr>
              <w:t>进行洗沙，产出成品砂，进入成品区；</w:t>
            </w:r>
            <w:r>
              <w:rPr>
                <w:rFonts w:hint="default" w:ascii="Times New Roman" w:hAnsi="Times New Roman" w:eastAsia="宋体" w:cs="Times New Roman"/>
                <w:color w:val="auto"/>
                <w:kern w:val="2"/>
                <w:sz w:val="24"/>
                <w:szCs w:val="24"/>
                <w:lang w:val="en-US" w:eastAsia="zh-CN" w:bidi="ar-SA"/>
              </w:rPr>
              <w:t>10～25mm</w:t>
            </w:r>
            <w:r>
              <w:rPr>
                <w:rFonts w:hint="default" w:ascii="Times New Roman" w:hAnsi="Times New Roman" w:eastAsia="宋体" w:cs="Times New Roman"/>
                <w:sz w:val="24"/>
                <w:szCs w:val="24"/>
                <w:lang w:val="en-US" w:eastAsia="zh-CN"/>
              </w:rPr>
              <w:t>的石料进入分料阀，过大的石料返回制砂机加工，</w:t>
            </w:r>
            <w:r>
              <w:rPr>
                <w:rFonts w:hint="default" w:ascii="Times New Roman" w:hAnsi="Times New Roman" w:eastAsia="宋体" w:cs="Times New Roman"/>
                <w:color w:val="auto"/>
                <w:kern w:val="2"/>
                <w:sz w:val="24"/>
                <w:szCs w:val="24"/>
                <w:lang w:val="en-US" w:eastAsia="zh-CN" w:bidi="ar-SA"/>
              </w:rPr>
              <w:t>其他</w:t>
            </w:r>
            <w:r>
              <w:rPr>
                <w:rFonts w:hint="default" w:ascii="Times New Roman" w:hAnsi="Times New Roman" w:eastAsia="宋体" w:cs="Times New Roman"/>
                <w:sz w:val="24"/>
                <w:szCs w:val="24"/>
                <w:lang w:val="en-US" w:eastAsia="zh-CN"/>
              </w:rPr>
              <w:t>的石料进入洗石机，则洗石机出的成品中小骨料进入成品区。洗沙及洗石机产生的废水由细沙回收系统回收，回收细沙作为成品砂使用，废水进入废水回收利用系统处理后回用。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生产排污环节：粉尘排放，措施：喷淋+厂房阻隔。生产废水：洗沙废水，措施：经沉淀池沉淀后回用。</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w:t>
            </w:r>
            <w:r>
              <w:rPr>
                <w:rFonts w:hint="eastAsia" w:ascii="Times New Roman" w:hAnsi="Times New Roman" w:cs="Times New Roman"/>
                <w:b w:val="0"/>
                <w:bCs w:val="0"/>
                <w:kern w:val="2"/>
                <w:sz w:val="24"/>
                <w:szCs w:val="24"/>
                <w:lang w:val="en-US" w:eastAsia="zh-CN" w:bidi="ar-SA"/>
              </w:rPr>
              <w:t>5</w:t>
            </w:r>
            <w:r>
              <w:rPr>
                <w:rFonts w:hint="default" w:ascii="Times New Roman" w:hAnsi="Times New Roman" w:cs="Times New Roman"/>
                <w:b w:val="0"/>
                <w:bCs w:val="0"/>
                <w:kern w:val="2"/>
                <w:sz w:val="24"/>
                <w:szCs w:val="24"/>
                <w:lang w:val="en-US" w:eastAsia="zh-CN" w:bidi="ar-SA"/>
              </w:rPr>
              <w:t>）</w:t>
            </w:r>
            <w:r>
              <w:rPr>
                <w:rFonts w:hint="default" w:ascii="Times New Roman" w:hAnsi="Times New Roman" w:eastAsia="宋体" w:cs="Times New Roman"/>
                <w:b w:val="0"/>
                <w:bCs w:val="0"/>
                <w:kern w:val="2"/>
                <w:sz w:val="24"/>
                <w:szCs w:val="24"/>
                <w:lang w:val="en-US" w:eastAsia="zh-CN" w:bidi="ar-SA"/>
              </w:rPr>
              <w:t>成品储存阶段</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符合规格的碎石成品储存在成品堆料仓中。</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sz w:val="24"/>
                <w:szCs w:val="24"/>
                <w:lang w:val="en-US" w:eastAsia="zh-CN"/>
              </w:rPr>
              <w:t>生产排污环节：粉尘排放，措施：喷淋+厂房阻隔。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6" w:type="dxa"/>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kern w:val="21"/>
                <w:szCs w:val="24"/>
              </w:rPr>
            </w:pPr>
            <w:r>
              <w:rPr>
                <w:rFonts w:hint="default" w:ascii="Times New Roman" w:hAnsi="Times New Roman" w:eastAsia="宋体" w:cs="Times New Roman"/>
                <w:bCs/>
                <w:color w:val="auto"/>
                <w:kern w:val="21"/>
                <w:szCs w:val="24"/>
                <w:highlight w:val="none"/>
              </w:rPr>
              <w:t>与项目有关的原有环境污染问题</w:t>
            </w:r>
          </w:p>
        </w:tc>
        <w:tc>
          <w:tcPr>
            <w:tcW w:w="882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color w:val="000000" w:themeColor="text1"/>
                <w:sz w:val="24"/>
                <w:szCs w:val="24"/>
                <w14:textFill>
                  <w14:solidFill>
                    <w14:schemeClr w14:val="tx1"/>
                  </w14:solidFill>
                </w14:textFill>
              </w:rPr>
            </w:pPr>
            <w:r>
              <w:rPr>
                <w:rFonts w:hint="default" w:ascii="Times New Roman" w:hAnsi="Times New Roman" w:cs="Times New Roman"/>
                <w:sz w:val="24"/>
                <w:szCs w:val="24"/>
              </w:rPr>
              <w:t>项目用地为</w:t>
            </w:r>
            <w:r>
              <w:rPr>
                <w:rFonts w:hint="default" w:ascii="Times New Roman" w:hAnsi="Times New Roman" w:cs="Times New Roman"/>
                <w:sz w:val="24"/>
                <w:szCs w:val="24"/>
                <w:lang w:val="en-US" w:eastAsia="zh-CN"/>
              </w:rPr>
              <w:t>高速公路建设</w:t>
            </w:r>
            <w:r>
              <w:rPr>
                <w:rFonts w:hint="default" w:ascii="Times New Roman" w:hAnsi="Times New Roman" w:cs="Times New Roman"/>
                <w:sz w:val="24"/>
                <w:szCs w:val="24"/>
              </w:rPr>
              <w:t>狮头山隧道进口进场道路施工用地</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为临时用地</w:t>
            </w:r>
            <w:r>
              <w:rPr>
                <w:rFonts w:hint="eastAsia" w:ascii="Times New Roman" w:hAnsi="Times New Roman" w:cs="Times New Roman"/>
                <w:sz w:val="24"/>
                <w:szCs w:val="24"/>
                <w:lang w:val="en-US" w:eastAsia="zh-CN"/>
              </w:rPr>
              <w:t>，</w:t>
            </w:r>
            <w:r>
              <w:rPr>
                <w:rFonts w:hint="default" w:ascii="Times New Roman" w:hAnsi="Times New Roman" w:cs="Times New Roman"/>
                <w:bCs/>
                <w:sz w:val="24"/>
                <w:szCs w:val="24"/>
              </w:rPr>
              <w:t>位于</w:t>
            </w:r>
            <w:r>
              <w:rPr>
                <w:rFonts w:hint="default" w:ascii="Times New Roman" w:hAnsi="Times New Roman" w:cs="Times New Roman"/>
                <w:bCs/>
                <w:sz w:val="24"/>
                <w:szCs w:val="24"/>
                <w:lang w:val="en-US" w:eastAsia="zh-CN"/>
              </w:rPr>
              <w:t>沘江</w:t>
            </w:r>
            <w:r>
              <w:rPr>
                <w:rFonts w:hint="default" w:ascii="Times New Roman" w:hAnsi="Times New Roman" w:cs="Times New Roman"/>
                <w:bCs/>
                <w:sz w:val="24"/>
                <w:szCs w:val="24"/>
              </w:rPr>
              <w:t>边。</w:t>
            </w:r>
            <w:r>
              <w:rPr>
                <w:rFonts w:hint="eastAsia" w:ascii="Times New Roman" w:hAnsi="Times New Roman" w:cs="Times New Roman"/>
                <w:bCs/>
                <w:sz w:val="24"/>
                <w:szCs w:val="24"/>
                <w:lang w:val="en-US" w:eastAsia="zh-CN"/>
              </w:rPr>
              <w:t>项目为新建，</w:t>
            </w:r>
            <w:r>
              <w:rPr>
                <w:rFonts w:ascii="Times New Roman" w:hAnsi="Times New Roman" w:cs="Times New Roman"/>
                <w:color w:val="000000" w:themeColor="text1"/>
                <w:sz w:val="24"/>
                <w:szCs w:val="24"/>
                <w14:textFill>
                  <w14:solidFill>
                    <w14:schemeClr w14:val="tx1"/>
                  </w14:solidFill>
                </w14:textFill>
              </w:rPr>
              <w:t>经现场调查，项目区占地范围内均为空地，</w:t>
            </w:r>
            <w:r>
              <w:rPr>
                <w:rFonts w:hint="eastAsia" w:cs="Times New Roman"/>
                <w:color w:val="000000" w:themeColor="text1"/>
                <w:sz w:val="24"/>
                <w:szCs w:val="24"/>
                <w14:textFill>
                  <w14:solidFill>
                    <w14:schemeClr w14:val="tx1"/>
                  </w14:solidFill>
                </w14:textFill>
              </w:rPr>
              <w:t>现已</w:t>
            </w:r>
            <w:r>
              <w:rPr>
                <w:rFonts w:hint="eastAsia" w:ascii="Times New Roman" w:hAnsi="Times New Roman" w:cs="Times New Roman"/>
                <w:color w:val="000000" w:themeColor="text1"/>
                <w:spacing w:val="-4"/>
                <w:sz w:val="24"/>
                <w:szCs w:val="24"/>
                <w14:textFill>
                  <w14:solidFill>
                    <w14:schemeClr w14:val="tx1"/>
                  </w14:solidFill>
                </w14:textFill>
              </w:rPr>
              <w:t>土地平整</w:t>
            </w:r>
            <w:r>
              <w:rPr>
                <w:rFonts w:ascii="Times New Roman" w:hAnsi="Times New Roman" w:cs="Times New Roman"/>
                <w:color w:val="000000" w:themeColor="text1"/>
                <w:spacing w:val="-4"/>
                <w:sz w:val="24"/>
                <w:szCs w:val="24"/>
                <w14:textFill>
                  <w14:solidFill>
                    <w14:schemeClr w14:val="tx1"/>
                  </w14:solidFill>
                </w14:textFill>
              </w:rPr>
              <w:t>，</w:t>
            </w:r>
            <w:r>
              <w:rPr>
                <w:rFonts w:hint="eastAsia" w:ascii="Times New Roman" w:hAnsi="Times New Roman" w:cs="Times New Roman"/>
                <w:color w:val="000000" w:themeColor="text1"/>
                <w:spacing w:val="-4"/>
                <w:sz w:val="24"/>
                <w:szCs w:val="24"/>
                <w:lang w:val="en-US" w:eastAsia="zh-CN"/>
                <w14:textFill>
                  <w14:solidFill>
                    <w14:schemeClr w14:val="tx1"/>
                  </w14:solidFill>
                </w14:textFill>
              </w:rPr>
              <w:t>且河堤防护已做，</w:t>
            </w:r>
            <w:r>
              <w:rPr>
                <w:rFonts w:hint="eastAsia"/>
                <w:color w:val="000000" w:themeColor="text1"/>
                <w:sz w:val="24"/>
                <w:szCs w:val="24"/>
                <w14:textFill>
                  <w14:solidFill>
                    <w14:schemeClr w14:val="tx1"/>
                  </w14:solidFill>
                </w14:textFill>
              </w:rPr>
              <w:t>不存在与项目有关的原有环境污染问题。</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项目区周边有一个拌合站及一个钢筋棚，同为高速公路附属项目，拌合站、钢筋棚已按要求办理环保手续，拌合站主要污染物为颗粒物，根据踏勘拌合站按要求设置环保措施，现状空气良好，污染物达标排放。</w:t>
            </w:r>
          </w:p>
        </w:tc>
      </w:tr>
    </w:tbl>
    <w:p>
      <w:pPr>
        <w:pStyle w:val="11"/>
        <w:rPr>
          <w:color w:val="auto"/>
        </w:rPr>
      </w:pPr>
    </w:p>
    <w:bookmarkEnd w:id="6"/>
    <w:p>
      <w:pPr>
        <w:rPr>
          <w:rFonts w:ascii="Times New Roman" w:hAnsi="Times New Roman" w:eastAsia="黑体" w:cs="Times New Roman"/>
          <w:color w:val="auto"/>
          <w:sz w:val="30"/>
          <w:szCs w:val="30"/>
        </w:rPr>
      </w:pPr>
      <w:bookmarkStart w:id="7" w:name="_Toc81399064"/>
      <w:r>
        <w:rPr>
          <w:rFonts w:ascii="Times New Roman" w:hAnsi="Times New Roman" w:eastAsia="黑体" w:cs="Times New Roman"/>
          <w:color w:val="auto"/>
          <w:sz w:val="30"/>
          <w:szCs w:val="30"/>
        </w:rPr>
        <w:br w:type="page"/>
      </w:r>
    </w:p>
    <w:p>
      <w:pPr>
        <w:pStyle w:val="2"/>
        <w:spacing w:before="62" w:beforeLines="20" w:after="31" w:afterLines="10" w:line="360" w:lineRule="auto"/>
        <w:jc w:val="center"/>
        <w:rPr>
          <w:rFonts w:ascii="Times New Roman" w:hAnsi="Times New Roman" w:eastAsia="黑体" w:cs="Times New Roman"/>
          <w:b w:val="0"/>
          <w:color w:val="auto"/>
          <w:sz w:val="30"/>
          <w:szCs w:val="30"/>
        </w:rPr>
      </w:pPr>
      <w:bookmarkStart w:id="8" w:name="_Toc28892"/>
      <w:r>
        <w:rPr>
          <w:rFonts w:ascii="Times New Roman" w:hAnsi="Times New Roman" w:eastAsia="黑体" w:cs="Times New Roman"/>
          <w:b w:val="0"/>
          <w:color w:val="auto"/>
          <w:sz w:val="30"/>
          <w:szCs w:val="30"/>
        </w:rPr>
        <w:t>三、区域环境质量现状、环境保护目标及评价标准</w:t>
      </w:r>
      <w:bookmarkEnd w:id="7"/>
      <w:bookmarkEnd w:id="8"/>
    </w:p>
    <w:tbl>
      <w:tblPr>
        <w:tblStyle w:val="26"/>
        <w:tblW w:w="92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1"/>
        <w:gridCol w:w="88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92" w:hRule="atLeast"/>
          <w:jc w:val="center"/>
        </w:trPr>
        <w:tc>
          <w:tcPr>
            <w:tcW w:w="391" w:type="dxa"/>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区域</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现状</w:t>
            </w:r>
          </w:p>
        </w:tc>
        <w:tc>
          <w:tcPr>
            <w:tcW w:w="8897" w:type="dxa"/>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环境空气质量现状</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（1）常规污染物</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1"/>
                <w:sz w:val="24"/>
                <w:szCs w:val="24"/>
                <w:highlight w:val="none"/>
                <w:u w:val="none"/>
                <w:lang w:eastAsia="zh-CN"/>
              </w:rPr>
              <w:t>本项目位于云南省大理白族自治州云龙县长新乡龙子潭小组，</w:t>
            </w:r>
            <w:r>
              <w:rPr>
                <w:rFonts w:hint="default" w:ascii="Times New Roman" w:hAnsi="Times New Roman" w:eastAsia="宋体" w:cs="Times New Roman"/>
                <w:color w:val="auto"/>
                <w:kern w:val="2"/>
                <w:sz w:val="24"/>
                <w:szCs w:val="24"/>
                <w:lang w:val="en-US" w:eastAsia="zh-CN" w:bidi="ar-SA"/>
              </w:rPr>
              <w:t>根据大气环境功能区划，项目的环境空气为《环境空气质量标准》（GB3095-2012）中的二类区。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color w:val="auto"/>
                <w:kern w:val="21"/>
                <w:sz w:val="24"/>
                <w:szCs w:val="24"/>
                <w:highlight w:val="none"/>
                <w:u w:val="none"/>
                <w:lang w:val="en-US" w:eastAsia="zh-CN" w:bidi="ar-SA"/>
              </w:rPr>
              <w:t>根据《大理白族自治州2023年环境状况公报》全州环境空气质量总体保持良好，12个县（市）优良天数比例在96.1%～100%之间，平均优良天数比例为98.5%，与上年相比下降1.5个百分点。12个县（市）6项污染物年均值及相应百分位数浓度值均达到《环境空气质量标准》（GB3095—2012）二级标准要求。其中二氧化硫、二氧化氮、可吸入颗粒物、一氧化碳（第95百分位数）等环境空气污染物年均值均达到一级标准；细颗粒物、臭氧（第90百分位数）达到二级标准。按县（市）分别评价，洱源县达到一级标准，其余11个县（市）均达到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 w:val="0"/>
                <w:bCs w:val="0"/>
                <w:color w:val="auto"/>
                <w:kern w:val="21"/>
                <w:sz w:val="24"/>
                <w:szCs w:val="24"/>
                <w:highlight w:val="none"/>
                <w:u w:val="none"/>
                <w:lang w:val="en-US" w:eastAsia="zh-CN" w:bidi="ar-SA"/>
              </w:rPr>
            </w:pPr>
            <w:r>
              <w:rPr>
                <w:rFonts w:hint="default" w:ascii="Times New Roman" w:hAnsi="Times New Roman" w:eastAsia="宋体" w:cs="Times New Roman"/>
                <w:b w:val="0"/>
                <w:bCs w:val="0"/>
                <w:color w:val="auto"/>
                <w:kern w:val="21"/>
                <w:sz w:val="24"/>
                <w:szCs w:val="24"/>
                <w:highlight w:val="none"/>
                <w:u w:val="none"/>
                <w:lang w:val="en-US" w:eastAsia="zh-CN" w:bidi="ar-SA"/>
              </w:rPr>
              <w:t>全州环境空气质量综合指数在1.92～2.55之间，平均综合指数为2.26，与上年相比上升7.8%。根据《城市环境空气质量排名技术规定》对12个县（市）的环境空气质量进行了排名，排名前3个县（第1~3名）依次为洱源县、剑川县和巍山县，排名后3个县（第12~10名）依次为永平县、弥渡县和漾濞县。与上年相比，巍山、漾濞两个县环境空气质量略有改善；弥渡县与上年持平，其余9个县（市）环境空气质量均有不同程度下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kern w:val="21"/>
                <w:sz w:val="24"/>
                <w:szCs w:val="24"/>
                <w:highlight w:val="none"/>
                <w:u w:val="none"/>
                <w:lang w:val="en-US" w:eastAsia="zh-CN" w:bidi="ar-SA"/>
              </w:rPr>
            </w:pPr>
            <w:r>
              <w:rPr>
                <w:rFonts w:hint="default" w:ascii="Times New Roman" w:hAnsi="Times New Roman" w:cs="Times New Roman"/>
                <w:sz w:val="24"/>
              </w:rPr>
              <w:t>项目所在</w:t>
            </w:r>
            <w:r>
              <w:rPr>
                <w:rFonts w:hint="default" w:ascii="Times New Roman" w:hAnsi="Times New Roman" w:cs="Times New Roman"/>
                <w:sz w:val="24"/>
                <w:lang w:val="en-US" w:eastAsia="zh-CN"/>
              </w:rPr>
              <w:t>云龙</w:t>
            </w:r>
            <w:r>
              <w:rPr>
                <w:rFonts w:hint="default" w:ascii="Times New Roman" w:hAnsi="Times New Roman" w:cs="Times New Roman"/>
                <w:sz w:val="24"/>
              </w:rPr>
              <w:t>县为质量达标区</w:t>
            </w:r>
            <w:r>
              <w:rPr>
                <w:rFonts w:hint="default" w:ascii="Times New Roman" w:hAnsi="Times New Roman" w:cs="Times New Roman"/>
                <w:sz w:val="24"/>
                <w:lang w:eastAsia="zh-CN"/>
              </w:rPr>
              <w:t>。</w:t>
            </w:r>
          </w:p>
          <w:p>
            <w:pPr>
              <w:widowControl/>
              <w:tabs>
                <w:tab w:val="left" w:pos="1950"/>
              </w:tabs>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（2）特征污染物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kern w:val="0"/>
                <w:sz w:val="24"/>
              </w:rPr>
              <w:t>项目运营期主要特征污染物为</w:t>
            </w:r>
            <w:r>
              <w:rPr>
                <w:rFonts w:hint="eastAsia"/>
                <w:kern w:val="0"/>
                <w:sz w:val="24"/>
              </w:rPr>
              <w:t>颗粒物（</w:t>
            </w:r>
            <w:r>
              <w:rPr>
                <w:kern w:val="0"/>
                <w:sz w:val="24"/>
              </w:rPr>
              <w:t>TSP）</w:t>
            </w:r>
            <w:r>
              <w:rPr>
                <w:rFonts w:hint="eastAsia"/>
                <w:kern w:val="0"/>
                <w:sz w:val="24"/>
              </w:rPr>
              <w:t>，根据《建设项目环境影响报告表编制指南（污染影响类）》要求，排放国家、地方环境空气质量标准中有标准限值要求的特征污染物时，</w:t>
            </w:r>
            <w:r>
              <w:rPr>
                <w:rFonts w:hint="default" w:ascii="Times New Roman" w:hAnsi="Times New Roman" w:cs="Times New Roman"/>
                <w:kern w:val="0"/>
                <w:sz w:val="24"/>
              </w:rPr>
              <w:t>引用建设项目周边5千米范围内近3年的现有监测数据，无相关数据的选择当季主导风向下风向1个点位补充不少于3天的监测数据。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项目特征评价因子为TSP，为充分了解项目区域TSP质量环境，委托</w:t>
            </w:r>
            <w:r>
              <w:rPr>
                <w:rFonts w:hint="default" w:ascii="Times New Roman" w:hAnsi="Times New Roman" w:cs="Times New Roman"/>
                <w:b w:val="0"/>
                <w:bCs w:val="0"/>
                <w:color w:val="auto"/>
                <w:sz w:val="24"/>
                <w:szCs w:val="24"/>
              </w:rPr>
              <w:t>云南天博环境检测有限公司</w:t>
            </w:r>
            <w:r>
              <w:rPr>
                <w:rFonts w:hint="default" w:ascii="Times New Roman" w:hAnsi="Times New Roman" w:eastAsia="宋体" w:cs="Times New Roman"/>
                <w:b w:val="0"/>
                <w:bCs w:val="0"/>
                <w:color w:val="auto"/>
                <w:sz w:val="24"/>
                <w:szCs w:val="24"/>
                <w:lang w:val="en-US" w:eastAsia="zh-CN"/>
              </w:rPr>
              <w:t>于2024年</w:t>
            </w:r>
            <w:r>
              <w:rPr>
                <w:rFonts w:hint="default" w:ascii="Times New Roman" w:hAnsi="Times New Roman" w:cs="Times New Roman"/>
                <w:b w:val="0"/>
                <w:bCs w:val="0"/>
                <w:color w:val="auto"/>
                <w:sz w:val="24"/>
                <w:szCs w:val="24"/>
                <w:lang w:val="en-US" w:eastAsia="zh-CN"/>
              </w:rPr>
              <w:t>11月2</w:t>
            </w:r>
            <w:r>
              <w:rPr>
                <w:rFonts w:hint="eastAsia" w:ascii="Times New Roman" w:hAnsi="Times New Roman"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日至2024年</w:t>
            </w:r>
            <w:r>
              <w:rPr>
                <w:rFonts w:hint="default" w:ascii="Times New Roman" w:hAnsi="Times New Roman" w:cs="Times New Roman"/>
                <w:b w:val="0"/>
                <w:bCs w:val="0"/>
                <w:color w:val="auto"/>
                <w:sz w:val="24"/>
                <w:szCs w:val="24"/>
                <w:lang w:val="en-US" w:eastAsia="zh-CN"/>
              </w:rPr>
              <w:t>1</w:t>
            </w:r>
            <w:r>
              <w:rPr>
                <w:rFonts w:hint="eastAsia"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月2</w:t>
            </w:r>
            <w:r>
              <w:rPr>
                <w:rFonts w:hint="eastAsia" w:ascii="Times New Roman" w:hAnsi="Times New Roman" w:cs="Times New Roman"/>
                <w:b w:val="0"/>
                <w:bCs w:val="0"/>
                <w:color w:val="auto"/>
                <w:sz w:val="24"/>
                <w:szCs w:val="24"/>
                <w:lang w:val="en-US" w:eastAsia="zh-CN"/>
              </w:rPr>
              <w:t>8</w:t>
            </w:r>
            <w:r>
              <w:rPr>
                <w:rFonts w:hint="default" w:ascii="Times New Roman" w:hAnsi="Times New Roman" w:eastAsia="宋体" w:cs="Times New Roman"/>
                <w:b w:val="0"/>
                <w:bCs w:val="0"/>
                <w:color w:val="auto"/>
                <w:sz w:val="24"/>
                <w:szCs w:val="24"/>
                <w:lang w:val="en-US" w:eastAsia="zh-CN"/>
              </w:rPr>
              <w:t>日在项目区下风向</w:t>
            </w:r>
            <w:r>
              <w:rPr>
                <w:rFonts w:hint="eastAsia" w:ascii="Times New Roman" w:hAnsi="Times New Roman" w:eastAsia="宋体" w:cs="Times New Roman"/>
                <w:b w:val="0"/>
                <w:bCs w:val="0"/>
                <w:color w:val="auto"/>
                <w:sz w:val="24"/>
                <w:szCs w:val="24"/>
                <w:lang w:val="en-US" w:eastAsia="zh-CN"/>
              </w:rPr>
              <w:t>（七登村）</w:t>
            </w:r>
            <w:r>
              <w:rPr>
                <w:rFonts w:hint="default" w:ascii="Times New Roman" w:hAnsi="Times New Roman" w:eastAsia="宋体" w:cs="Times New Roman"/>
                <w:b w:val="0"/>
                <w:bCs w:val="0"/>
                <w:color w:val="auto"/>
                <w:sz w:val="24"/>
                <w:szCs w:val="24"/>
                <w:lang w:val="en-US" w:eastAsia="zh-CN"/>
              </w:rPr>
              <w:t>进行的TSP空气质量现状监测，该点位于项目下方向约</w:t>
            </w:r>
            <w:r>
              <w:rPr>
                <w:rFonts w:hint="eastAsia" w:ascii="Times New Roman" w:hAnsi="Times New Roman" w:eastAsia="宋体" w:cs="Times New Roman"/>
                <w:b w:val="0"/>
                <w:bCs w:val="0"/>
                <w:color w:val="auto"/>
                <w:sz w:val="24"/>
                <w:szCs w:val="24"/>
                <w:lang w:val="en-US" w:eastAsia="zh-CN"/>
              </w:rPr>
              <w:t>84</w:t>
            </w:r>
            <w:r>
              <w:rPr>
                <w:rFonts w:hint="default" w:ascii="Times New Roman" w:hAnsi="Times New Roman" w:eastAsia="宋体" w:cs="Times New Roman"/>
                <w:b w:val="0"/>
                <w:bCs w:val="0"/>
                <w:color w:val="auto"/>
                <w:sz w:val="24"/>
                <w:szCs w:val="24"/>
                <w:lang w:val="en-US" w:eastAsia="zh-CN"/>
              </w:rPr>
              <w:t>m处，监测数据见表3-1。</w:t>
            </w:r>
          </w:p>
          <w:p>
            <w:pPr>
              <w:widowControl w:val="0"/>
              <w:spacing w:line="360" w:lineRule="auto"/>
              <w:ind w:left="0"/>
              <w:jc w:val="center"/>
              <w:rPr>
                <w:rFonts w:hint="default" w:ascii="Times New Roman" w:hAnsi="Times New Roman" w:eastAsia="宋体" w:cs="Times New Roman"/>
                <w:b/>
                <w:bCs/>
                <w:color w:val="auto"/>
                <w:sz w:val="21"/>
                <w:szCs w:val="21"/>
                <w:vertAlign w:val="superscript"/>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t>TSP环境质量现状监测结果单位</w:t>
            </w:r>
            <w:r>
              <w:rPr>
                <w:rFonts w:hint="eastAsia" w:ascii="宋体" w:hAnsi="宋体" w:eastAsia="宋体" w:cs="Times New Roman"/>
                <w:b/>
                <w:color w:val="000000"/>
                <w:sz w:val="24"/>
                <w:szCs w:val="24"/>
              </w:rPr>
              <w:t>µ</w:t>
            </w:r>
            <w:r>
              <w:rPr>
                <w:rFonts w:hint="eastAsia" w:ascii="宋体" w:hAnsi="宋体" w:eastAsia="宋体" w:cs="宋体"/>
                <w:b/>
                <w:sz w:val="24"/>
                <w:szCs w:val="24"/>
              </w:rPr>
              <w:t>g</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p>
          <w:tbl>
            <w:tblPr>
              <w:tblStyle w:val="27"/>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655"/>
              <w:gridCol w:w="1199"/>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检测点位</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采样时间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颗粒物</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标准值</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七登村</w:t>
                  </w: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2024/11/21</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22</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95</w:t>
                  </w:r>
                </w:p>
              </w:tc>
              <w:tc>
                <w:tcPr>
                  <w:tcW w:w="17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300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2024/11/22</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23</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95</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2024/11/23</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24</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90</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2024/11/24</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25</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86</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2024/11/25</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26</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88</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2024/11/26</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27</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87</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2024/11/27</w:t>
                  </w:r>
                  <w:r>
                    <w:rPr>
                      <w:rFonts w:hint="default" w:ascii="Times New Roman" w:hAnsi="Times New Roman" w:eastAsia="宋体" w:cs="Times New Roman"/>
                      <w:color w:val="auto"/>
                      <w:sz w:val="21"/>
                      <w:szCs w:val="21"/>
                      <w:highlight w:val="none"/>
                      <w:lang w:val="en-US" w:eastAsia="zh-CN"/>
                    </w:rPr>
                    <w:t>～2024/1</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28</w:t>
                  </w:r>
                </w:p>
              </w:tc>
              <w:tc>
                <w:tcPr>
                  <w:tcW w:w="1199" w:type="dxa"/>
                  <w:vAlign w:val="center"/>
                </w:tcPr>
                <w:p>
                  <w:pPr>
                    <w:keepNext w:val="0"/>
                    <w:keepLines w:val="0"/>
                    <w:pageBreakBefore w:val="0"/>
                    <w:widowControl/>
                    <w:kinsoku/>
                    <w:wordWrap/>
                    <w:overflowPunct/>
                    <w:topLinePunct w:val="0"/>
                    <w:autoSpaceDE/>
                    <w:autoSpaceDN w:val="0"/>
                    <w:bidi w:val="0"/>
                    <w:adjustRightInd/>
                    <w:snapToGrid/>
                    <w:spacing w:line="200" w:lineRule="atLeast"/>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color w:val="auto"/>
                      <w:spacing w:val="-6"/>
                      <w:sz w:val="21"/>
                      <w:szCs w:val="21"/>
                      <w:lang w:val="en-US" w:eastAsia="zh-CN" w:bidi="he-IL"/>
                    </w:rPr>
                    <w:t>91</w:t>
                  </w:r>
                </w:p>
              </w:tc>
              <w:tc>
                <w:tcPr>
                  <w:tcW w:w="17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olor w:val="auto"/>
                <w:sz w:val="24"/>
                <w:szCs w:val="24"/>
              </w:rPr>
            </w:pPr>
            <w:r>
              <w:rPr>
                <w:rFonts w:hint="eastAsia" w:ascii="宋体" w:hAnsi="宋体" w:eastAsia="宋体"/>
                <w:color w:val="auto"/>
                <w:sz w:val="24"/>
                <w:szCs w:val="24"/>
              </w:rPr>
              <w:t>由上表监测结果可见，项目区</w:t>
            </w:r>
            <w:r>
              <w:rPr>
                <w:rFonts w:hint="eastAsia" w:ascii="TimesNewRomanPSMT" w:hAnsi="TimesNewRomanPSMT" w:eastAsia="TimesNewRomanPSMT"/>
                <w:color w:val="auto"/>
                <w:sz w:val="24"/>
                <w:szCs w:val="24"/>
              </w:rPr>
              <w:t>TSP</w:t>
            </w:r>
            <w:r>
              <w:rPr>
                <w:rFonts w:hint="eastAsia" w:ascii="宋体" w:hAnsi="宋体" w:eastAsia="宋体"/>
                <w:color w:val="auto"/>
                <w:sz w:val="24"/>
                <w:szCs w:val="24"/>
              </w:rPr>
              <w:t>能满足《环境空气质量标准》（</w:t>
            </w:r>
            <w:r>
              <w:rPr>
                <w:rFonts w:hint="eastAsia" w:ascii="TimesNewRomanPSMT" w:hAnsi="TimesNewRomanPSMT" w:eastAsia="TimesNewRomanPSMT"/>
                <w:color w:val="auto"/>
                <w:sz w:val="24"/>
                <w:szCs w:val="24"/>
              </w:rPr>
              <w:t>GB3035-2012</w:t>
            </w:r>
            <w:r>
              <w:rPr>
                <w:rFonts w:hint="eastAsia" w:ascii="宋体" w:hAnsi="宋体" w:eastAsia="宋体"/>
                <w:color w:val="auto"/>
                <w:sz w:val="24"/>
                <w:szCs w:val="24"/>
              </w:rPr>
              <w:t>）中表</w:t>
            </w:r>
            <w:r>
              <w:rPr>
                <w:rFonts w:hint="eastAsia" w:ascii="TimesNewRomanPSMT" w:hAnsi="TimesNewRomanPSMT" w:eastAsia="TimesNewRomanPSMT"/>
                <w:color w:val="auto"/>
                <w:sz w:val="24"/>
                <w:szCs w:val="24"/>
              </w:rPr>
              <w:t>2</w:t>
            </w:r>
            <w:r>
              <w:rPr>
                <w:rFonts w:hint="eastAsia" w:ascii="宋体" w:hAnsi="宋体" w:eastAsia="宋体"/>
                <w:color w:val="auto"/>
                <w:sz w:val="24"/>
                <w:szCs w:val="24"/>
              </w:rPr>
              <w:t>的标准要求</w:t>
            </w:r>
            <w:r>
              <w:rPr>
                <w:rFonts w:hint="eastAsia" w:ascii="宋体" w:hAnsi="宋体" w:eastAsia="宋体"/>
                <w:color w:val="auto"/>
                <w:sz w:val="24"/>
                <w:szCs w:val="24"/>
                <w:lang w:eastAsia="zh-CN"/>
              </w:rPr>
              <w:t>，</w:t>
            </w:r>
            <w:r>
              <w:rPr>
                <w:rFonts w:hint="eastAsia"/>
                <w:sz w:val="24"/>
                <w:szCs w:val="24"/>
              </w:rPr>
              <w:t>环境空气现状良好</w:t>
            </w:r>
            <w:r>
              <w:rPr>
                <w:rFonts w:hint="eastAsia"/>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地表水环境质量现状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项目所在区域附近地表水为沘江，项目位于沘江</w:t>
            </w:r>
            <w:r>
              <w:rPr>
                <w:rFonts w:hint="eastAsia" w:ascii="Times New Roman" w:hAnsi="Times New Roman" w:cs="Times New Roman"/>
                <w:sz w:val="24"/>
                <w:szCs w:val="24"/>
                <w:lang w:val="en-US" w:eastAsia="zh-CN"/>
              </w:rPr>
              <w:t>北</w:t>
            </w:r>
            <w:r>
              <w:rPr>
                <w:rFonts w:hint="default" w:ascii="Times New Roman" w:hAnsi="Times New Roman" w:cs="Times New Roman"/>
                <w:sz w:val="24"/>
                <w:szCs w:val="24"/>
              </w:rPr>
              <w:t>侧，与沘江</w:t>
            </w:r>
            <w:r>
              <w:rPr>
                <w:rFonts w:hint="default" w:ascii="Times New Roman" w:hAnsi="Times New Roman" w:cs="Times New Roman"/>
                <w:sz w:val="24"/>
                <w:szCs w:val="24"/>
                <w:lang w:val="en-US" w:eastAsia="zh-CN"/>
              </w:rPr>
              <w:t>相邻</w:t>
            </w:r>
            <w:r>
              <w:rPr>
                <w:rFonts w:hint="default" w:ascii="Times New Roman" w:hAnsi="Times New Roman" w:cs="Times New Roman"/>
                <w:sz w:val="24"/>
                <w:szCs w:val="24"/>
              </w:rPr>
              <w:t>。依据《</w:t>
            </w:r>
            <w:r>
              <w:rPr>
                <w:rFonts w:hint="eastAsia" w:ascii="Times New Roman" w:hAnsi="Times New Roman" w:cs="Times New Roman"/>
                <w:sz w:val="24"/>
                <w:szCs w:val="24"/>
                <w:lang w:val="en-US" w:eastAsia="zh-CN"/>
              </w:rPr>
              <w:t>大理州</w:t>
            </w:r>
            <w:r>
              <w:rPr>
                <w:rFonts w:hint="default" w:ascii="Times New Roman" w:hAnsi="Times New Roman" w:cs="Times New Roman"/>
                <w:sz w:val="24"/>
                <w:szCs w:val="24"/>
              </w:rPr>
              <w:t>水功能区划》（201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修订），项目河段属于沘江云龙保留区：由云龙县白石至入澜沧江口，全长96.5km。沿江有象图河、大达溪、松弄溪、炼箐河、师里河等支流注入。规划水平年水质目标为Ⅲ类，执行《地表水环境质量标准》（GB3838-2002）Ⅲ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根据大理州人民政府网公布的《大理白族自治州202</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年环境状况公报》：项目所涉及的沘江共有三个监测断面-沘江金鸡桥断面、沘江石门断面、沘江大练登断面。其中</w:t>
            </w:r>
            <w:r>
              <w:rPr>
                <w:rFonts w:hint="default" w:ascii="Times New Roman" w:hAnsi="Times New Roman" w:cs="Times New Roman"/>
                <w:sz w:val="24"/>
                <w:szCs w:val="24"/>
                <w:lang w:val="en-US" w:eastAsia="zh-CN"/>
              </w:rPr>
              <w:t>三个</w:t>
            </w:r>
            <w:r>
              <w:rPr>
                <w:rFonts w:hint="default" w:ascii="Times New Roman" w:hAnsi="Times New Roman" w:cs="Times New Roman"/>
                <w:sz w:val="24"/>
                <w:szCs w:val="24"/>
              </w:rPr>
              <w:t>断面监测断面水质类别可达到</w:t>
            </w:r>
            <w:r>
              <w:rPr>
                <w:rFonts w:hint="default" w:ascii="Times New Roman" w:hAnsi="Times New Roman" w:eastAsia="方正仿宋_GBK" w:cs="Times New Roman"/>
                <w:i w:val="0"/>
                <w:iCs w:val="0"/>
                <w:caps w:val="0"/>
                <w:color w:val="222222"/>
                <w:spacing w:val="30"/>
                <w:sz w:val="24"/>
                <w:szCs w:val="24"/>
                <w:shd w:val="clear" w:fill="FFFFFF"/>
              </w:rPr>
              <w:t>Ⅱ</w:t>
            </w:r>
            <w:r>
              <w:rPr>
                <w:rFonts w:hint="default" w:ascii="Times New Roman" w:hAnsi="Times New Roman" w:cs="Times New Roman"/>
                <w:sz w:val="24"/>
                <w:szCs w:val="24"/>
              </w:rPr>
              <w:t>类标准要求，因此沘江（由云龙县白石至入澜沧江口）河段满足《地表水环境质量标准》（GB3838-2002）Ⅲ类标准要求，为水环境质量达标区。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云南省大理白族自治州云龙县长新乡龙子潭小组</w:t>
            </w:r>
            <w:r>
              <w:rPr>
                <w:rFonts w:hint="default" w:ascii="Times New Roman" w:hAnsi="Times New Roman" w:eastAsia="宋体" w:cs="Times New Roman"/>
                <w:color w:val="auto"/>
                <w:sz w:val="24"/>
                <w:szCs w:val="24"/>
                <w:lang w:val="en-US" w:eastAsia="zh-CN"/>
              </w:rPr>
              <w:t>，项目属于《声环境质量标准》（GB3096-2008）2类声环境功能区，执行2类标准。根据现场踏勘，项目区周围50m范围内</w:t>
            </w:r>
            <w:r>
              <w:rPr>
                <w:rFonts w:hint="eastAsia" w:ascii="Times New Roman" w:hAnsi="Times New Roman" w:eastAsia="宋体" w:cs="Times New Roman"/>
                <w:color w:val="auto"/>
                <w:sz w:val="24"/>
                <w:szCs w:val="24"/>
                <w:lang w:val="en-US" w:eastAsia="zh-CN"/>
              </w:rPr>
              <w:t>有家散户养殖圈</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散户属于86m处的居民区七登村，</w:t>
            </w:r>
            <w:r>
              <w:rPr>
                <w:rFonts w:hint="eastAsia"/>
                <w:sz w:val="24"/>
              </w:rPr>
              <w:t>根据《建设项目环境影响报告表编制技术指南（污染影响类）（试行）》厂界外周边</w:t>
            </w:r>
            <w:r>
              <w:rPr>
                <w:rFonts w:hint="default" w:ascii="Times New Roman" w:hAnsi="Times New Roman" w:cs="Times New Roman"/>
                <w:sz w:val="24"/>
              </w:rPr>
              <w:t>50米范</w:t>
            </w:r>
            <w:r>
              <w:rPr>
                <w:rFonts w:hint="eastAsia"/>
                <w:sz w:val="24"/>
              </w:rPr>
              <w:t>围内存在声环境保护目标</w:t>
            </w:r>
            <w:r>
              <w:rPr>
                <w:rFonts w:hint="eastAsia"/>
                <w:sz w:val="24"/>
                <w:lang w:eastAsia="zh-CN"/>
              </w:rPr>
              <w:t>，</w:t>
            </w:r>
            <w:r>
              <w:rPr>
                <w:rFonts w:hint="eastAsia"/>
                <w:sz w:val="24"/>
              </w:rPr>
              <w:t>因此，</w:t>
            </w:r>
            <w:r>
              <w:rPr>
                <w:rFonts w:hint="eastAsia"/>
                <w:sz w:val="24"/>
                <w:lang w:val="en-US" w:eastAsia="zh-CN"/>
              </w:rPr>
              <w:t>为了了解敏感点声环境现状，</w:t>
            </w:r>
            <w:r>
              <w:rPr>
                <w:rFonts w:hint="eastAsia"/>
                <w:sz w:val="24"/>
              </w:rPr>
              <w:t>本次评价将对区域内的声环境进行</w:t>
            </w:r>
            <w:r>
              <w:rPr>
                <w:rFonts w:hint="eastAsia"/>
                <w:sz w:val="24"/>
                <w:lang w:val="en-US" w:eastAsia="zh-CN"/>
              </w:rPr>
              <w:t>监测，设置监测点为敏感点居民更多的七登村，</w:t>
            </w:r>
            <w:r>
              <w:rPr>
                <w:rFonts w:hint="default" w:ascii="Times New Roman" w:hAnsi="Times New Roman" w:eastAsia="宋体" w:cs="Times New Roman"/>
                <w:color w:val="auto"/>
                <w:sz w:val="24"/>
                <w:szCs w:val="24"/>
                <w:lang w:val="en-US" w:eastAsia="zh-CN"/>
              </w:rPr>
              <w:t>委托</w:t>
            </w:r>
            <w:r>
              <w:rPr>
                <w:rFonts w:hint="default" w:ascii="Times New Roman" w:hAnsi="Times New Roman" w:eastAsia="宋体" w:cs="Times New Roman"/>
                <w:b w:val="0"/>
                <w:bCs w:val="0"/>
                <w:color w:val="auto"/>
                <w:sz w:val="24"/>
                <w:szCs w:val="24"/>
                <w:lang w:val="en-US" w:eastAsia="zh-CN"/>
              </w:rPr>
              <w:t>云南天博环境检测有限公司</w:t>
            </w:r>
            <w:r>
              <w:rPr>
                <w:rFonts w:hint="default" w:ascii="Times New Roman" w:hAnsi="Times New Roman" w:eastAsia="宋体" w:cs="Times New Roman"/>
                <w:color w:val="auto"/>
                <w:sz w:val="24"/>
                <w:szCs w:val="24"/>
                <w:lang w:val="en-US" w:eastAsia="zh-CN"/>
              </w:rPr>
              <w:t>于2024年11月</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val="en-US" w:eastAsia="zh-CN"/>
              </w:rPr>
              <w:t>日-2</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日在</w:t>
            </w:r>
            <w:r>
              <w:rPr>
                <w:rFonts w:hint="eastAsia" w:ascii="Times New Roman" w:hAnsi="Times New Roman" w:eastAsia="宋体" w:cs="Times New Roman"/>
                <w:color w:val="auto"/>
                <w:sz w:val="24"/>
                <w:szCs w:val="24"/>
                <w:lang w:val="en-US" w:eastAsia="zh-CN"/>
              </w:rPr>
              <w:t>七登村</w:t>
            </w:r>
            <w:r>
              <w:rPr>
                <w:rFonts w:hint="default" w:ascii="Times New Roman" w:hAnsi="Times New Roman" w:eastAsia="宋体" w:cs="Times New Roman"/>
                <w:color w:val="auto"/>
                <w:sz w:val="24"/>
                <w:szCs w:val="24"/>
                <w:lang w:val="en-US" w:eastAsia="zh-CN"/>
              </w:rPr>
              <w:t>进行的</w:t>
            </w:r>
            <w:r>
              <w:rPr>
                <w:rFonts w:hint="eastAsia" w:ascii="Times New Roman" w:hAnsi="Times New Roman" w:eastAsia="宋体" w:cs="Times New Roman"/>
                <w:color w:val="auto"/>
                <w:sz w:val="24"/>
                <w:szCs w:val="24"/>
                <w:lang w:val="en-US" w:eastAsia="zh-CN"/>
              </w:rPr>
              <w:t>声环境</w:t>
            </w:r>
            <w:r>
              <w:rPr>
                <w:rFonts w:hint="default" w:ascii="Times New Roman" w:hAnsi="Times New Roman" w:eastAsia="宋体" w:cs="Times New Roman"/>
                <w:color w:val="auto"/>
                <w:sz w:val="24"/>
                <w:szCs w:val="24"/>
                <w:lang w:val="en-US" w:eastAsia="zh-CN"/>
              </w:rPr>
              <w:t>现状监测，该点位于项目</w:t>
            </w:r>
            <w:r>
              <w:rPr>
                <w:rFonts w:hint="eastAsia" w:ascii="Times New Roman" w:hAnsi="Times New Roman" w:eastAsia="宋体" w:cs="Times New Roman"/>
                <w:color w:val="auto"/>
                <w:sz w:val="24"/>
                <w:szCs w:val="24"/>
                <w:lang w:val="en-US" w:eastAsia="zh-CN"/>
              </w:rPr>
              <w:t>东南侧</w:t>
            </w:r>
            <w:r>
              <w:rPr>
                <w:rFonts w:hint="default" w:ascii="Times New Roman" w:hAnsi="Times New Roman" w:eastAsia="宋体" w:cs="Times New Roman"/>
                <w:color w:val="auto"/>
                <w:sz w:val="24"/>
                <w:szCs w:val="24"/>
                <w:lang w:val="en-US" w:eastAsia="zh-CN"/>
              </w:rPr>
              <w:t>约</w:t>
            </w:r>
            <w:r>
              <w:rPr>
                <w:rFonts w:hint="eastAsia" w:ascii="Times New Roman" w:hAnsi="Times New Roman" w:eastAsia="宋体" w:cs="Times New Roman"/>
                <w:color w:val="auto"/>
                <w:sz w:val="24"/>
                <w:szCs w:val="24"/>
                <w:lang w:val="en-US" w:eastAsia="zh-CN"/>
              </w:rPr>
              <w:t>86</w:t>
            </w:r>
            <w:r>
              <w:rPr>
                <w:rFonts w:hint="default" w:ascii="Times New Roman" w:hAnsi="Times New Roman" w:eastAsia="宋体" w:cs="Times New Roman"/>
                <w:color w:val="auto"/>
                <w:sz w:val="24"/>
                <w:szCs w:val="24"/>
                <w:lang w:val="en-US" w:eastAsia="zh-CN"/>
              </w:rPr>
              <w:t>m处，监测数据见表3-</w:t>
            </w:r>
            <w:r>
              <w:rPr>
                <w:rFonts w:hint="eastAsia" w:ascii="Times New Roman" w:hAnsi="Times New Roman" w:eastAsia="宋体" w:cs="Times New Roman"/>
                <w:color w:val="auto"/>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superscript"/>
                <w:lang w:val="en-US" w:eastAsia="zh-CN"/>
              </w:rPr>
            </w:pPr>
            <w:r>
              <w:rPr>
                <w:rFonts w:hint="default" w:ascii="Times New Roman" w:hAnsi="Times New Roman" w:eastAsia="宋体" w:cs="Times New Roman"/>
                <w:b/>
                <w:bCs/>
                <w:color w:val="auto"/>
                <w:sz w:val="21"/>
                <w:szCs w:val="21"/>
                <w:lang w:val="en-US" w:eastAsia="zh-CN"/>
              </w:rPr>
              <w:t>表3-2</w:t>
            </w:r>
            <w:r>
              <w:rPr>
                <w:rFonts w:hint="default" w:ascii="Times New Roman" w:hAnsi="Times New Roman" w:eastAsia="宋体" w:cs="Times New Roman"/>
                <w:b/>
                <w:bCs/>
                <w:color w:val="auto"/>
                <w:sz w:val="21"/>
                <w:szCs w:val="21"/>
              </w:rPr>
              <w:t>噪声监测及评价结果</w:t>
            </w:r>
          </w:p>
          <w:tbl>
            <w:tblPr>
              <w:tblStyle w:val="27"/>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655"/>
              <w:gridCol w:w="1199"/>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检测点位</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采样时间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dB</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A</w:t>
                  </w:r>
                  <w:r>
                    <w:rPr>
                      <w:rFonts w:hint="eastAsia" w:ascii="Times New Roman" w:hAnsi="Times New Roman" w:eastAsia="宋体" w:cs="Times New Roman"/>
                      <w:b w:val="0"/>
                      <w:bCs w:val="0"/>
                      <w:color w:val="auto"/>
                      <w:sz w:val="21"/>
                      <w:szCs w:val="21"/>
                      <w:vertAlign w:val="baseline"/>
                      <w:lang w:val="en-US" w:eastAsia="zh-CN"/>
                    </w:rPr>
                    <w:t>）</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标准值</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七登村</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2024-11-21昼间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highlight w:val="none"/>
                      <w:lang w:val="en-US" w:eastAsia="zh-CN"/>
                    </w:rPr>
                    <w:t>48.8</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2024-11-21夜间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highlight w:val="none"/>
                      <w:lang w:val="en-US" w:eastAsia="zh-CN"/>
                    </w:rPr>
                    <w:t>41.2</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2024-11-22昼间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pacing w:val="-5"/>
                      <w:sz w:val="21"/>
                      <w:szCs w:val="21"/>
                      <w:highlight w:val="none"/>
                      <w:lang w:val="en-US" w:eastAsia="zh-CN" w:bidi="he-IL"/>
                    </w:rPr>
                    <w:t>48.2</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2024-11-22夜间</w:t>
                  </w:r>
                </w:p>
              </w:tc>
              <w:tc>
                <w:tcPr>
                  <w:tcW w:w="1199" w:type="dxa"/>
                  <w:vAlign w:val="center"/>
                </w:tcPr>
                <w:p>
                  <w:pPr>
                    <w:autoSpaceDN w:val="0"/>
                    <w:spacing w:line="240" w:lineRule="auto"/>
                    <w:ind w:left="0" w:left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pacing w:val="-5"/>
                      <w:sz w:val="21"/>
                      <w:szCs w:val="21"/>
                      <w:highlight w:val="none"/>
                      <w:lang w:val="en-US" w:eastAsia="zh-CN" w:bidi="he-IL"/>
                    </w:rPr>
                    <w:t>40.7</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50</w:t>
                  </w:r>
                </w:p>
              </w:tc>
              <w:tc>
                <w:tcPr>
                  <w:tcW w:w="1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由监测结果表可知：</w:t>
            </w:r>
            <w:r>
              <w:rPr>
                <w:rFonts w:hint="eastAsia" w:ascii="Times New Roman" w:hAnsi="Times New Roman" w:eastAsia="宋体" w:cs="Times New Roman"/>
                <w:color w:val="auto"/>
                <w:sz w:val="24"/>
                <w:szCs w:val="24"/>
                <w:lang w:val="en-US" w:eastAsia="zh-CN"/>
              </w:rPr>
              <w:t>七登村</w:t>
            </w:r>
            <w:r>
              <w:rPr>
                <w:rFonts w:hint="default" w:ascii="Times New Roman" w:hAnsi="Times New Roman" w:eastAsia="宋体" w:cs="Times New Roman"/>
                <w:color w:val="auto"/>
                <w:sz w:val="24"/>
                <w:szCs w:val="24"/>
              </w:rPr>
              <w:t>测点昼</w:t>
            </w:r>
            <w:r>
              <w:rPr>
                <w:rFonts w:hint="eastAsia" w:ascii="Times New Roman" w:hAnsi="Times New Roman" w:eastAsia="宋体" w:cs="Times New Roman"/>
                <w:color w:val="auto"/>
                <w:sz w:val="24"/>
                <w:szCs w:val="24"/>
                <w:lang w:val="en-US" w:eastAsia="zh-CN"/>
              </w:rPr>
              <w:t>夜</w:t>
            </w:r>
            <w:r>
              <w:rPr>
                <w:rFonts w:hint="default" w:ascii="Times New Roman" w:hAnsi="Times New Roman" w:eastAsia="宋体" w:cs="Times New Roman"/>
                <w:color w:val="auto"/>
                <w:sz w:val="24"/>
                <w:szCs w:val="24"/>
              </w:rPr>
              <w:t>间测值范围为</w:t>
            </w:r>
            <w:r>
              <w:rPr>
                <w:rFonts w:hint="eastAsia" w:ascii="Times New Roman" w:hAnsi="Times New Roman" w:eastAsia="宋体" w:cs="Times New Roman"/>
                <w:color w:val="auto"/>
                <w:sz w:val="24"/>
                <w:szCs w:val="24"/>
                <w:lang w:val="en-US" w:eastAsia="zh-CN"/>
              </w:rPr>
              <w:t>40.7</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48.8</w:t>
            </w:r>
            <w:r>
              <w:rPr>
                <w:rFonts w:hint="default" w:ascii="Times New Roman" w:hAnsi="Times New Roman" w:eastAsia="宋体" w:cs="Times New Roman"/>
                <w:color w:val="auto"/>
                <w:sz w:val="24"/>
                <w:szCs w:val="24"/>
              </w:rPr>
              <w:t>B（A），符合</w:t>
            </w:r>
            <w:r>
              <w:rPr>
                <w:rFonts w:hint="default" w:ascii="Times New Roman" w:hAnsi="Times New Roman" w:eastAsia="宋体" w:cs="Times New Roman"/>
                <w:color w:val="auto"/>
                <w:sz w:val="24"/>
                <w:szCs w:val="24"/>
                <w:lang w:val="en-US" w:eastAsia="zh-CN"/>
              </w:rPr>
              <w:t>《声环境质量标准》（GB3096-2008）</w:t>
            </w:r>
            <w:r>
              <w:rPr>
                <w:rFonts w:hint="eastAsia" w:ascii="Times New Roman" w:hAnsi="Times New Roman" w:eastAsia="宋体" w:cs="Times New Roman"/>
                <w:color w:val="auto"/>
                <w:sz w:val="24"/>
                <w:szCs w:val="24"/>
                <w:lang w:val="en-US" w:eastAsia="zh-CN"/>
              </w:rPr>
              <w:t>2类标准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项目区域声环境质量较好。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、生态质量现状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lang w:eastAsia="zh-CN"/>
              </w:rPr>
            </w:pPr>
            <w:r>
              <w:rPr>
                <w:rFonts w:ascii="Times New Roman" w:hAnsi="Times New Roman"/>
                <w:color w:val="auto"/>
                <w:kern w:val="0"/>
                <w:sz w:val="24"/>
              </w:rPr>
              <w:t>根据现场踏勘，</w:t>
            </w:r>
            <w:r>
              <w:rPr>
                <w:rFonts w:hint="eastAsia" w:ascii="Times New Roman" w:hAnsi="Times New Roman"/>
                <w:color w:val="auto"/>
                <w:kern w:val="0"/>
                <w:sz w:val="24"/>
                <w:lang w:val="en-US" w:eastAsia="zh-CN"/>
              </w:rPr>
              <w:t>项目区在建设前为荒草地</w:t>
            </w:r>
            <w:r>
              <w:rPr>
                <w:rFonts w:ascii="Times New Roman" w:hAnsi="Times New Roman"/>
                <w:color w:val="auto"/>
                <w:kern w:val="0"/>
                <w:sz w:val="24"/>
              </w:rPr>
              <w:t>草本层数种类繁多，</w:t>
            </w:r>
            <w:r>
              <w:rPr>
                <w:rFonts w:hint="default" w:ascii="Times New Roman" w:hAnsi="Times New Roman" w:eastAsia="宋体" w:cs="Times New Roman"/>
                <w:sz w:val="24"/>
                <w:szCs w:val="24"/>
              </w:rPr>
              <w:t>蔗茅（Erianthusrufipilus）、土牛膝(Achyranthesaspera)、荩草(Arthraxonhispidus)、凤尾蕨(Pterisnervosa)、星毛繁缕(Stellariavestita)、地石榴(Ficusti-koua)、毛蕨菜(Pteridiumrevolutum)、青蒿(Artemisiaapiacea)、夏枯草(Prunellavulgaris)、披散问荆(Equisetumdiffusum)、两头毛(Incarvilleaarguta)、窃衣(Torilisjaponica)等；层间植物主要为小木通(Clematisarmandii)</w:t>
            </w:r>
            <w:r>
              <w:rPr>
                <w:rFonts w:hint="default" w:ascii="Times New Roman" w:hAnsi="Times New Roman" w:cs="Times New Roman"/>
                <w:color w:val="auto"/>
                <w:kern w:val="0"/>
                <w:sz w:val="24"/>
              </w:rPr>
              <w:t>等</w:t>
            </w:r>
            <w:r>
              <w:rPr>
                <w:rFonts w:hint="default" w:ascii="Times New Roman" w:hAnsi="Times New Roman" w:cs="Times New Roman"/>
                <w:color w:val="auto"/>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ascii="宋体" w:hAnsi="宋体" w:eastAsia="宋体" w:cs="宋体"/>
                <w:sz w:val="24"/>
                <w:szCs w:val="24"/>
              </w:rPr>
              <w:t>根据野外调查和收集到的相关资料，评价区域内常见的动物有哺乳类、鸟类、鱼类、两栖类、爬行类、昆虫类，主要为麻雀、野鸡、鲤鱼、田鸡、青蛙、青蛇、白花蛇、蚕、螳螂、蚯蚓、蜜蜂等。评价区没有发现国家级保护兽类；也没有发现省级重点保护兽类。综上，根据现场踏勘，评价区内未发现国家级保护动植物，本项目亦不涉及生态保护区、自然保护区、风景名胜区、文化遗产保护区、水源保护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所在区域受人为干扰较大，以城镇生态系统为主，评价区生态环境质量一般。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91" w:type="dxa"/>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环境</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保护</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目标</w:t>
            </w:r>
          </w:p>
        </w:tc>
        <w:tc>
          <w:tcPr>
            <w:tcW w:w="889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sz w:val="24"/>
                <w:lang w:bidi="ar"/>
              </w:rPr>
              <w:t>本项目环境保护目标参见下表。大气评价范围按厂界外延500m选取范围，声评价范围按厂界外延50m选取。项目区周边500m范围内无地下水饮用水源，无地下水热水，矿泉水和温泉等特殊地下水资源，因此项目无地下水环境保护目标。</w:t>
            </w:r>
          </w:p>
          <w:p>
            <w:pPr>
              <w:pStyle w:val="58"/>
              <w:rPr>
                <w:rFonts w:hint="default" w:ascii="Times New Roman" w:hAnsi="Times New Roman" w:cs="Times New Roman"/>
                <w:color w:val="auto"/>
              </w:rPr>
            </w:pPr>
            <w:r>
              <w:rPr>
                <w:rFonts w:hint="default" w:ascii="Times New Roman" w:hAnsi="Times New Roman" w:cs="Times New Roman"/>
                <w:color w:val="auto"/>
                <w:lang w:bidi="ar"/>
              </w:rPr>
              <w:t>表3-</w:t>
            </w:r>
            <w:r>
              <w:rPr>
                <w:rFonts w:hint="eastAsia" w:ascii="Times New Roman" w:hAnsi="Times New Roman" w:cs="Times New Roman"/>
                <w:color w:val="auto"/>
                <w:lang w:val="en-US" w:eastAsia="zh-CN" w:bidi="ar"/>
              </w:rPr>
              <w:t>3</w:t>
            </w:r>
            <w:r>
              <w:rPr>
                <w:rFonts w:hint="default" w:ascii="Times New Roman" w:hAnsi="Times New Roman" w:cs="Times New Roman"/>
                <w:color w:val="auto"/>
                <w:lang w:bidi="ar"/>
              </w:rPr>
              <w:t>环境保护目标表</w:t>
            </w:r>
          </w:p>
          <w:tbl>
            <w:tblPr>
              <w:tblStyle w:val="26"/>
              <w:tblW w:w="8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36"/>
              <w:gridCol w:w="1415"/>
              <w:gridCol w:w="1014"/>
              <w:gridCol w:w="906"/>
              <w:gridCol w:w="963"/>
              <w:gridCol w:w="752"/>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643" w:type="dxa"/>
                  <w:vMerge w:val="restart"/>
                  <w:vAlign w:val="center"/>
                </w:tcPr>
                <w:p>
                  <w:pPr>
                    <w:pStyle w:val="88"/>
                    <w:keepNext w:val="0"/>
                    <w:keepLines w:val="0"/>
                    <w:pageBreakBefore w:val="0"/>
                    <w:widowControl w:val="0"/>
                    <w:tabs>
                      <w:tab w:val="clear" w:pos="1021"/>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position w:val="0"/>
                      <w:sz w:val="21"/>
                      <w:szCs w:val="21"/>
                    </w:rPr>
                  </w:pPr>
                  <w:r>
                    <w:rPr>
                      <w:rFonts w:hint="default" w:ascii="Times New Roman" w:hAnsi="Times New Roman" w:cs="Times New Roman"/>
                      <w:kern w:val="2"/>
                      <w:position w:val="0"/>
                      <w:sz w:val="21"/>
                      <w:szCs w:val="21"/>
                    </w:rPr>
                    <w:t>项目</w:t>
                  </w:r>
                </w:p>
              </w:tc>
              <w:tc>
                <w:tcPr>
                  <w:tcW w:w="28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坐标（</w:t>
                  </w:r>
                  <w:r>
                    <w:rPr>
                      <w:rFonts w:hint="default" w:ascii="Times New Roman" w:hAnsi="Times New Roman" w:cs="Times New Roman"/>
                      <w:sz w:val="21"/>
                      <w:szCs w:val="21"/>
                      <w:vertAlign w:val="superscript"/>
                    </w:rPr>
                    <w:t>O</w:t>
                  </w:r>
                  <w:r>
                    <w:rPr>
                      <w:rFonts w:hint="default" w:ascii="Times New Roman" w:hAnsi="Times New Roman" w:cs="Times New Roman"/>
                      <w:sz w:val="21"/>
                      <w:szCs w:val="21"/>
                    </w:rPr>
                    <w:t>）</w:t>
                  </w:r>
                </w:p>
              </w:tc>
              <w:tc>
                <w:tcPr>
                  <w:tcW w:w="101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保护对象</w:t>
                  </w:r>
                </w:p>
              </w:tc>
              <w:tc>
                <w:tcPr>
                  <w:tcW w:w="90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保护内容</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环境功能区</w:t>
                  </w:r>
                </w:p>
              </w:tc>
              <w:tc>
                <w:tcPr>
                  <w:tcW w:w="75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相对项目方位</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相对厂界距离/m</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相对高差</w:t>
                  </w:r>
                  <w:r>
                    <w:rPr>
                      <w:rFonts w:hint="default" w:ascii="Times New Roman" w:hAnsi="Times New Roman" w:cs="Times New Roman"/>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643" w:type="dxa"/>
                  <w:vMerge w:val="continue"/>
                  <w:vAlign w:val="center"/>
                </w:tcPr>
                <w:p>
                  <w:pPr>
                    <w:pStyle w:val="88"/>
                    <w:keepNext w:val="0"/>
                    <w:keepLines w:val="0"/>
                    <w:pageBreakBefore w:val="0"/>
                    <w:widowControl w:val="0"/>
                    <w:tabs>
                      <w:tab w:val="clear" w:pos="1021"/>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position w:val="0"/>
                      <w:sz w:val="21"/>
                      <w:szCs w:val="21"/>
                    </w:rPr>
                  </w:pPr>
                </w:p>
              </w:tc>
              <w:tc>
                <w:tcPr>
                  <w:tcW w:w="14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经度</w:t>
                  </w:r>
                </w:p>
              </w:tc>
              <w:tc>
                <w:tcPr>
                  <w:tcW w:w="1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纬度</w:t>
                  </w:r>
                </w:p>
              </w:tc>
              <w:tc>
                <w:tcPr>
                  <w:tcW w:w="101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75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64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环境空气</w:t>
                  </w:r>
                </w:p>
              </w:tc>
              <w:tc>
                <w:tcPr>
                  <w:tcW w:w="14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99°23′50.605″</w:t>
                  </w:r>
                </w:p>
              </w:tc>
              <w:tc>
                <w:tcPr>
                  <w:tcW w:w="1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26°1′55.568″</w:t>
                  </w:r>
                </w:p>
              </w:tc>
              <w:tc>
                <w:tcPr>
                  <w:tcW w:w="10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sz w:val="21"/>
                      <w:szCs w:val="21"/>
                      <w:highlight w:val="none"/>
                      <w:lang w:val="en-US" w:eastAsia="zh-CN"/>
                    </w:rPr>
                    <w:t>散户养殖圈</w:t>
                  </w:r>
                </w:p>
              </w:tc>
              <w:tc>
                <w:tcPr>
                  <w:tcW w:w="9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sz w:val="21"/>
                      <w:szCs w:val="21"/>
                      <w:highlight w:val="none"/>
                      <w:lang w:val="en-US" w:eastAsia="zh-CN"/>
                    </w:rPr>
                    <w:t>面积500m</w:t>
                  </w:r>
                  <w:r>
                    <w:rPr>
                      <w:rFonts w:hint="eastAsia" w:ascii="Times New Roman" w:hAnsi="Times New Roman" w:cs="Times New Roman"/>
                      <w:sz w:val="21"/>
                      <w:szCs w:val="21"/>
                      <w:highlight w:val="none"/>
                      <w:vertAlign w:val="superscript"/>
                      <w:lang w:val="en-US" w:eastAsia="zh-CN"/>
                    </w:rPr>
                    <w:t>2</w:t>
                  </w:r>
                  <w:r>
                    <w:rPr>
                      <w:rFonts w:hint="eastAsia" w:ascii="Times New Roman" w:hAnsi="Times New Roman" w:cs="Times New Roman"/>
                      <w:sz w:val="21"/>
                      <w:szCs w:val="21"/>
                      <w:highlight w:val="none"/>
                      <w:lang w:val="en-US" w:eastAsia="zh-CN"/>
                    </w:rPr>
                    <w:t>，养殖规模5头以下</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30</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43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333333"/>
                      <w:kern w:val="0"/>
                      <w:sz w:val="21"/>
                      <w:szCs w:val="21"/>
                      <w:u w:val="none"/>
                      <w:lang w:val="en-US" w:eastAsia="zh-CN" w:bidi="ar"/>
                    </w:rPr>
                    <w:t>99°23′57.068″</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333333"/>
                      <w:kern w:val="0"/>
                      <w:sz w:val="21"/>
                      <w:szCs w:val="21"/>
                      <w:u w:val="none"/>
                      <w:lang w:val="en-US" w:eastAsia="zh-CN" w:bidi="ar"/>
                    </w:rPr>
                    <w:t>26°01′54.786″</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七登村</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12</w:t>
                  </w:r>
                  <w:r>
                    <w:rPr>
                      <w:rFonts w:hint="default" w:ascii="Times New Roman" w:hAnsi="Times New Roman" w:cs="Times New Roman"/>
                      <w:sz w:val="21"/>
                      <w:szCs w:val="21"/>
                    </w:rPr>
                    <w:t>户</w:t>
                  </w:r>
                  <w:r>
                    <w:rPr>
                      <w:rFonts w:hint="default" w:ascii="Times New Roman" w:hAnsi="Times New Roman" w:cs="Times New Roman"/>
                      <w:sz w:val="21"/>
                      <w:szCs w:val="21"/>
                      <w:lang w:val="en-US" w:eastAsia="zh-CN"/>
                    </w:rPr>
                    <w:t>60</w:t>
                  </w:r>
                  <w:r>
                    <w:rPr>
                      <w:rFonts w:hint="default" w:ascii="Times New Roman" w:hAnsi="Times New Roman" w:cs="Times New Roman"/>
                      <w:sz w:val="21"/>
                      <w:szCs w:val="21"/>
                    </w:rPr>
                    <w:t>人</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东北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86</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4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43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333333"/>
                      <w:kern w:val="0"/>
                      <w:sz w:val="21"/>
                      <w:szCs w:val="21"/>
                      <w:u w:val="none"/>
                      <w:lang w:val="en-US" w:eastAsia="zh-CN" w:bidi="ar"/>
                    </w:rPr>
                    <w:t>99°24′11.064″</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333333"/>
                      <w:kern w:val="0"/>
                      <w:sz w:val="21"/>
                      <w:szCs w:val="21"/>
                      <w:u w:val="none"/>
                      <w:lang w:val="en-US" w:eastAsia="zh-CN" w:bidi="ar"/>
                    </w:rPr>
                    <w:t>26°02′01.946″</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田厂坡</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户</w:t>
                  </w:r>
                  <w:r>
                    <w:rPr>
                      <w:rFonts w:hint="default" w:ascii="Times New Roman" w:hAnsi="Times New Roman" w:cs="Times New Roman"/>
                      <w:sz w:val="21"/>
                      <w:szCs w:val="21"/>
                      <w:lang w:val="en-US" w:eastAsia="zh-CN"/>
                    </w:rPr>
                    <w:t>40人</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东北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510</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5"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声环境</w:t>
                  </w:r>
                </w:p>
              </w:tc>
              <w:tc>
                <w:tcPr>
                  <w:tcW w:w="14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99°23′50.605″</w:t>
                  </w:r>
                </w:p>
              </w:tc>
              <w:tc>
                <w:tcPr>
                  <w:tcW w:w="14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26°1′55.568″</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散户养殖圈</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二类功能区</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30</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地表水环境</w:t>
                  </w:r>
                </w:p>
              </w:tc>
              <w:tc>
                <w:tcPr>
                  <w:tcW w:w="285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w:t>
                  </w:r>
                </w:p>
              </w:tc>
              <w:tc>
                <w:tcPr>
                  <w:tcW w:w="10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沘江</w:t>
                  </w:r>
                </w:p>
              </w:tc>
              <w:tc>
                <w:tcPr>
                  <w:tcW w:w="9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不影响其功能</w:t>
                  </w:r>
                </w:p>
              </w:tc>
              <w:tc>
                <w:tcPr>
                  <w:tcW w:w="9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Ⅲ类</w:t>
                  </w:r>
                </w:p>
              </w:tc>
              <w:tc>
                <w:tcPr>
                  <w:tcW w:w="7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南</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地下水环境</w:t>
                  </w:r>
                </w:p>
              </w:tc>
              <w:tc>
                <w:tcPr>
                  <w:tcW w:w="7289" w:type="dxa"/>
                  <w:gridSpan w:val="7"/>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项目厂界外500m范围内无地下水集中饮用水水源、热水、矿泉水、温泉等特殊地下水保护目标</w:t>
                  </w:r>
                </w:p>
              </w:tc>
              <w:tc>
                <w:tcPr>
                  <w:tcW w:w="80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391"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污染</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物排</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放控</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制标</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准</w:t>
            </w:r>
          </w:p>
        </w:tc>
        <w:tc>
          <w:tcPr>
            <w:tcW w:w="8897"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color w:val="auto"/>
                <w:kern w:val="0"/>
                <w:sz w:val="24"/>
                <w:szCs w:val="24"/>
              </w:rPr>
              <w:t>1、废气排放标准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（1）施工期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施工期粉尘执行《大气污染物综合排放标准》</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GB16297-1996</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标准中无组织颗粒物排放监控浓度限值。</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《大气污染物综合排放标准》单位：mg/m</w:t>
            </w:r>
            <w:r>
              <w:rPr>
                <w:rFonts w:hint="default" w:ascii="Times New Roman" w:hAnsi="Times New Roman" w:eastAsia="宋体" w:cs="Times New Roman"/>
                <w:b/>
                <w:bCs/>
                <w:color w:val="auto"/>
                <w:sz w:val="21"/>
                <w:szCs w:val="21"/>
                <w:vertAlign w:val="superscript"/>
                <w:lang w:val="en-US" w:eastAsia="zh-CN"/>
              </w:rPr>
              <w:t>3</w:t>
            </w:r>
          </w:p>
          <w:tbl>
            <w:tblPr>
              <w:tblStyle w:val="26"/>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432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888" w:type="dxa"/>
                  <w:vMerge w:val="restart"/>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污染物项目</w:t>
                  </w:r>
                </w:p>
              </w:tc>
              <w:tc>
                <w:tcPr>
                  <w:tcW w:w="5781" w:type="dxa"/>
                  <w:gridSpan w:val="2"/>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无组织排放浓度监控限值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888" w:type="dxa"/>
                  <w:vMerge w:val="continue"/>
                  <w:vAlign w:val="center"/>
                </w:tcPr>
                <w:p>
                  <w:pPr>
                    <w:jc w:val="center"/>
                    <w:rPr>
                      <w:rFonts w:hint="default" w:ascii="Times New Roman" w:hAnsi="Times New Roman" w:eastAsia="宋体" w:cs="Times New Roman"/>
                      <w:b/>
                      <w:bCs/>
                      <w:color w:val="auto"/>
                      <w:kern w:val="0"/>
                      <w:szCs w:val="21"/>
                    </w:rPr>
                  </w:pPr>
                </w:p>
              </w:tc>
              <w:tc>
                <w:tcPr>
                  <w:tcW w:w="4329"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监控点</w:t>
                  </w:r>
                </w:p>
              </w:tc>
              <w:tc>
                <w:tcPr>
                  <w:tcW w:w="1452"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888"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颗粒物</w:t>
                  </w:r>
                </w:p>
              </w:tc>
              <w:tc>
                <w:tcPr>
                  <w:tcW w:w="4329"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周界外浓度最高点</w:t>
                  </w:r>
                </w:p>
              </w:tc>
              <w:tc>
                <w:tcPr>
                  <w:tcW w:w="1452"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（2）运营期</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项目原料装卸、进料以及破碎、筛分废气等过程</w:t>
            </w:r>
            <w:r>
              <w:rPr>
                <w:rFonts w:hint="default" w:ascii="Times New Roman" w:hAnsi="Times New Roman" w:eastAsia="宋体" w:cs="Times New Roman"/>
                <w:bCs/>
                <w:color w:val="auto"/>
                <w:sz w:val="24"/>
                <w:highlight w:val="none"/>
                <w:lang w:eastAsia="zh-CN"/>
              </w:rPr>
              <w:t>产生的污染物主要为粉尘，无组织粉尘执行《大气污染物综合排放标准》（GB16297-1996）中的</w:t>
            </w:r>
            <w:r>
              <w:rPr>
                <w:rFonts w:hint="default" w:ascii="Times New Roman" w:hAnsi="Times New Roman" w:eastAsia="宋体" w:cs="Times New Roman"/>
                <w:color w:val="auto"/>
                <w:kern w:val="0"/>
                <w:sz w:val="24"/>
                <w:szCs w:val="24"/>
              </w:rPr>
              <w:t>无组织颗粒物排放监控浓度限值</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标准值见下表。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eastAsia="zh-CN"/>
              </w:rPr>
              <w:t>大气</w:t>
            </w:r>
            <w:r>
              <w:rPr>
                <w:rFonts w:hint="default" w:ascii="Times New Roman" w:hAnsi="Times New Roman" w:eastAsia="宋体" w:cs="Times New Roman"/>
                <w:b/>
                <w:bCs/>
                <w:color w:val="auto"/>
                <w:sz w:val="21"/>
                <w:szCs w:val="21"/>
              </w:rPr>
              <w:t>污染物</w:t>
            </w:r>
            <w:r>
              <w:rPr>
                <w:rFonts w:hint="default" w:ascii="Times New Roman" w:hAnsi="Times New Roman" w:eastAsia="宋体" w:cs="Times New Roman"/>
                <w:b/>
                <w:bCs/>
                <w:color w:val="auto"/>
                <w:sz w:val="21"/>
                <w:szCs w:val="21"/>
                <w:lang w:eastAsia="zh-CN"/>
              </w:rPr>
              <w:t>（颗粒物）综合</w:t>
            </w:r>
            <w:r>
              <w:rPr>
                <w:rFonts w:hint="default" w:ascii="Times New Roman" w:hAnsi="Times New Roman" w:eastAsia="宋体" w:cs="Times New Roman"/>
                <w:b/>
                <w:bCs/>
                <w:color w:val="auto"/>
                <w:sz w:val="21"/>
                <w:szCs w:val="21"/>
              </w:rPr>
              <w:t>排放标准</w:t>
            </w:r>
          </w:p>
          <w:tbl>
            <w:tblPr>
              <w:tblStyle w:val="26"/>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2740"/>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0" w:type="dxa"/>
                  <w:vMerge w:val="restart"/>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5569" w:type="dxa"/>
                  <w:gridSpan w:val="2"/>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0" w:type="dxa"/>
                  <w:vMerge w:val="continue"/>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p>
              </w:tc>
              <w:tc>
                <w:tcPr>
                  <w:tcW w:w="2740" w:type="dxa"/>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2829" w:type="dxa"/>
                  <w:noWrap w:val="0"/>
                  <w:vAlign w:val="center"/>
                </w:tcPr>
                <w:p>
                  <w:pPr>
                    <w:pStyle w:val="72"/>
                    <w:adjustRightInd w:val="0"/>
                    <w:snapToGrid w:val="0"/>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0" w:type="dxa"/>
                  <w:noWrap w:val="0"/>
                  <w:vAlign w:val="center"/>
                </w:tcPr>
                <w:p>
                  <w:pPr>
                    <w:pStyle w:val="72"/>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颗粒物</w:t>
                  </w:r>
                </w:p>
              </w:tc>
              <w:tc>
                <w:tcPr>
                  <w:tcW w:w="2740" w:type="dxa"/>
                  <w:noWrap w:val="0"/>
                  <w:vAlign w:val="center"/>
                </w:tcPr>
                <w:p>
                  <w:pPr>
                    <w:pStyle w:val="72"/>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2829" w:type="dxa"/>
                  <w:noWrap w:val="0"/>
                  <w:vAlign w:val="center"/>
                </w:tcPr>
                <w:p>
                  <w:pPr>
                    <w:pStyle w:val="72"/>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2、废水</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val="0"/>
                <w:color w:val="auto"/>
                <w:kern w:val="0"/>
                <w:sz w:val="24"/>
                <w:szCs w:val="24"/>
              </w:rPr>
            </w:pPr>
            <w:r>
              <w:rPr>
                <w:rFonts w:hint="default" w:ascii="Times New Roman" w:hAnsi="Times New Roman" w:eastAsia="宋体" w:cs="Times New Roman"/>
                <w:b/>
                <w:bCs w:val="0"/>
                <w:color w:val="auto"/>
                <w:kern w:val="0"/>
                <w:sz w:val="24"/>
                <w:szCs w:val="24"/>
              </w:rPr>
              <w:t>（1）施工期</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施工期废水主要为员工洗手废水，主要污染物为SS，经沉淀池沉淀后用于洒水降尘，不外排，不执行排放标准。</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val="0"/>
                <w:color w:val="auto"/>
                <w:kern w:val="0"/>
                <w:sz w:val="24"/>
                <w:szCs w:val="24"/>
              </w:rPr>
            </w:pPr>
            <w:r>
              <w:rPr>
                <w:rFonts w:hint="default" w:ascii="Times New Roman" w:hAnsi="Times New Roman" w:eastAsia="宋体" w:cs="Times New Roman"/>
                <w:b/>
                <w:bCs w:val="0"/>
                <w:color w:val="auto"/>
                <w:kern w:val="0"/>
                <w:sz w:val="24"/>
                <w:szCs w:val="24"/>
              </w:rPr>
              <w:t>（2）运营期</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项目初期雨水经排水沟收集后，进入初期雨水收集池沉淀处理回用于洒水降尘，不外排。</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项目生产中，破碎工序采取喷淋降尘，降尘用水全部</w:t>
            </w:r>
            <w:r>
              <w:rPr>
                <w:rFonts w:hint="eastAsia" w:ascii="Times New Roman" w:hAnsi="Times New Roman" w:eastAsia="宋体" w:cs="Times New Roman"/>
                <w:color w:val="auto"/>
                <w:sz w:val="24"/>
                <w:highlight w:val="none"/>
                <w:lang w:val="en-US" w:eastAsia="zh-CN"/>
              </w:rPr>
              <w:t>随物料带走</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洗砂</w:t>
            </w:r>
            <w:r>
              <w:rPr>
                <w:rFonts w:hint="default" w:ascii="Times New Roman" w:hAnsi="Times New Roman" w:eastAsia="宋体" w:cs="Times New Roman"/>
                <w:color w:val="auto"/>
                <w:sz w:val="24"/>
                <w:highlight w:val="none"/>
                <w:lang w:val="en-US" w:eastAsia="zh-CN"/>
              </w:rPr>
              <w:t>废水</w:t>
            </w:r>
            <w:r>
              <w:rPr>
                <w:rFonts w:hint="eastAsia" w:ascii="Times New Roman" w:hAnsi="Times New Roman" w:eastAsia="宋体" w:cs="Times New Roman"/>
                <w:color w:val="auto"/>
                <w:sz w:val="24"/>
                <w:highlight w:val="none"/>
                <w:lang w:val="en-US" w:eastAsia="zh-CN"/>
              </w:rPr>
              <w:t>循环使用不外排。</w:t>
            </w:r>
          </w:p>
          <w:p>
            <w:pPr>
              <w:pStyle w:val="72"/>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产生的厨房废水经油水分离器隔油处理后连同生活清洗废水一并进入生活污水收集池，经收集池沉淀后用于厂区洒水降尘，不外排；项目配套设置旱厕，定期清掏用于项目周边农田施肥，不外排。</w:t>
            </w:r>
          </w:p>
          <w:p>
            <w:pPr>
              <w:spacing w:line="360" w:lineRule="auto"/>
              <w:ind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3、噪声</w:t>
            </w:r>
          </w:p>
          <w:p>
            <w:pPr>
              <w:spacing w:line="360" w:lineRule="auto"/>
              <w:ind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（1）施工期</w:t>
            </w:r>
          </w:p>
          <w:p>
            <w:pPr>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项目施工期噪声排放执行《建筑施工场界环境噪声排放标准》（GB12523-2011），标准限值详见下表。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建筑施工场界环境噪声排放标准单位：dB（A）</w:t>
            </w:r>
          </w:p>
          <w:tbl>
            <w:tblPr>
              <w:tblStyle w:val="26"/>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34"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昼间dB（A）</w:t>
                  </w:r>
                </w:p>
              </w:tc>
              <w:tc>
                <w:tcPr>
                  <w:tcW w:w="4335"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34"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70</w:t>
                  </w:r>
                </w:p>
              </w:tc>
              <w:tc>
                <w:tcPr>
                  <w:tcW w:w="4335"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55</w:t>
                  </w:r>
                </w:p>
              </w:tc>
            </w:tr>
          </w:tbl>
          <w:p>
            <w:pPr>
              <w:spacing w:line="360" w:lineRule="auto"/>
              <w:ind w:firstLine="482" w:firstLineChars="200"/>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（2）运营期</w:t>
            </w:r>
          </w:p>
          <w:p>
            <w:pPr>
              <w:spacing w:line="360" w:lineRule="auto"/>
              <w:ind w:firstLine="480" w:firstLineChars="200"/>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厂界</w:t>
            </w:r>
            <w:r>
              <w:rPr>
                <w:rFonts w:hint="default" w:ascii="Times New Roman" w:hAnsi="Times New Roman" w:eastAsia="宋体" w:cs="Times New Roman"/>
                <w:color w:val="auto"/>
                <w:kern w:val="0"/>
                <w:sz w:val="24"/>
                <w:szCs w:val="24"/>
              </w:rPr>
              <w:t>执行《工业企业厂界环境噪声排放标准》（GB12348-2008）</w:t>
            </w:r>
            <w:r>
              <w:rPr>
                <w:rFonts w:hint="default"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类标准</w:t>
            </w:r>
            <w:r>
              <w:rPr>
                <w:rFonts w:hint="eastAsia" w:ascii="Times New Roman" w:hAnsi="Times New Roman" w:eastAsia="宋体" w:cs="Times New Roman"/>
                <w:color w:val="auto"/>
                <w:kern w:val="0"/>
                <w:sz w:val="24"/>
                <w:szCs w:val="24"/>
                <w:lang w:eastAsia="zh-CN"/>
              </w:rPr>
              <w:t>。</w:t>
            </w:r>
          </w:p>
          <w:p>
            <w:pPr>
              <w:keepNext/>
              <w:keepLines/>
              <w:jc w:val="center"/>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表3-</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rPr>
              <w:t>工业企业厂界环境噪声排放标准单位：dB</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A</w:t>
            </w:r>
            <w:r>
              <w:rPr>
                <w:rFonts w:hint="eastAsia" w:ascii="Times New Roman" w:hAnsi="Times New Roman" w:eastAsia="宋体" w:cs="Times New Roman"/>
                <w:b/>
                <w:bCs/>
                <w:color w:val="auto"/>
                <w:sz w:val="21"/>
                <w:szCs w:val="21"/>
                <w:lang w:eastAsia="zh-CN"/>
              </w:rPr>
              <w:t>）</w:t>
            </w:r>
          </w:p>
          <w:tbl>
            <w:tblPr>
              <w:tblStyle w:val="26"/>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2806"/>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2" w:type="dxa"/>
                  <w:vMerge w:val="restart"/>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执行标准</w:t>
                  </w:r>
                </w:p>
              </w:tc>
              <w:tc>
                <w:tcPr>
                  <w:tcW w:w="5607" w:type="dxa"/>
                  <w:gridSpan w:val="2"/>
                  <w:vAlign w:val="center"/>
                </w:tcPr>
                <w:p>
                  <w:pPr>
                    <w:jc w:val="center"/>
                    <w:rPr>
                      <w:rFonts w:hint="eastAsia" w:ascii="Times New Roman" w:hAnsi="Times New Roman" w:eastAsia="宋体" w:cs="Times New Roman"/>
                      <w:b/>
                      <w:bCs/>
                      <w:color w:val="auto"/>
                      <w:kern w:val="0"/>
                      <w:szCs w:val="21"/>
                      <w:lang w:eastAsia="zh-CN"/>
                    </w:rPr>
                  </w:pPr>
                  <w:r>
                    <w:rPr>
                      <w:rFonts w:hint="default" w:ascii="Times New Roman" w:hAnsi="Times New Roman" w:eastAsia="宋体" w:cs="Times New Roman"/>
                      <w:b/>
                      <w:bCs/>
                      <w:color w:val="auto"/>
                      <w:kern w:val="0"/>
                      <w:szCs w:val="21"/>
                    </w:rPr>
                    <w:t>标准限值dB</w:t>
                  </w:r>
                  <w:r>
                    <w:rPr>
                      <w:rFonts w:hint="default" w:ascii="Times New Roman" w:hAnsi="Times New Roman" w:eastAsia="宋体" w:cs="Times New Roman"/>
                      <w:b/>
                      <w:bCs/>
                      <w:color w:val="auto"/>
                      <w:kern w:val="0"/>
                      <w:szCs w:val="21"/>
                      <w:lang w:eastAsia="zh-CN"/>
                    </w:rPr>
                    <w:t>（</w:t>
                  </w:r>
                  <w:r>
                    <w:rPr>
                      <w:rFonts w:hint="default" w:ascii="Times New Roman" w:hAnsi="Times New Roman" w:eastAsia="宋体" w:cs="Times New Roman"/>
                      <w:b/>
                      <w:bCs/>
                      <w:color w:val="auto"/>
                      <w:kern w:val="0"/>
                      <w:szCs w:val="21"/>
                    </w:rPr>
                    <w:t>A</w:t>
                  </w:r>
                  <w:r>
                    <w:rPr>
                      <w:rFonts w:hint="eastAsia" w:ascii="Times New Roman" w:hAnsi="Times New Roman" w:eastAsia="宋体" w:cs="Times New Roman"/>
                      <w:b/>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2" w:type="dxa"/>
                  <w:vMerge w:val="continue"/>
                  <w:vAlign w:val="center"/>
                </w:tcPr>
                <w:p>
                  <w:pPr>
                    <w:jc w:val="center"/>
                    <w:rPr>
                      <w:rFonts w:hint="default" w:ascii="Times New Roman" w:hAnsi="Times New Roman" w:eastAsia="宋体" w:cs="Times New Roman"/>
                      <w:b/>
                      <w:bCs/>
                      <w:color w:val="auto"/>
                      <w:kern w:val="0"/>
                      <w:szCs w:val="21"/>
                    </w:rPr>
                  </w:pPr>
                </w:p>
              </w:tc>
              <w:tc>
                <w:tcPr>
                  <w:tcW w:w="2806"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昼间</w:t>
                  </w:r>
                </w:p>
              </w:tc>
              <w:tc>
                <w:tcPr>
                  <w:tcW w:w="2801" w:type="dxa"/>
                  <w:vAlign w:val="center"/>
                </w:tcPr>
                <w:p>
                  <w:pP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2"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2类</w:t>
                  </w:r>
                </w:p>
              </w:tc>
              <w:tc>
                <w:tcPr>
                  <w:tcW w:w="2806"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60</w:t>
                  </w:r>
                </w:p>
              </w:tc>
              <w:tc>
                <w:tcPr>
                  <w:tcW w:w="2801" w:type="dxa"/>
                  <w:vAlign w:val="center"/>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w:t>
                  </w:r>
                </w:p>
              </w:tc>
            </w:tr>
          </w:tbl>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olor w:val="auto"/>
                <w:kern w:val="1"/>
                <w:sz w:val="24"/>
                <w:szCs w:val="24"/>
              </w:rPr>
            </w:pPr>
            <w:r>
              <w:rPr>
                <w:rFonts w:hint="default" w:ascii="Times New Roman" w:hAnsi="Times New Roman" w:eastAsia="宋体" w:cs="Times New Roman"/>
                <w:b/>
                <w:bCs/>
                <w:color w:val="auto"/>
                <w:kern w:val="1"/>
                <w:sz w:val="24"/>
                <w:szCs w:val="24"/>
              </w:rPr>
              <w:t>4、固体废物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lang w:val="en-US" w:eastAsia="zh-CN"/>
              </w:rPr>
              <w:t>一般固废：《一般工业固体废物贮存和填埋污染控制标准》（GB18599-2020）</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eastAsia="zh-CN"/>
              </w:rPr>
            </w:pPr>
            <w:r>
              <w:rPr>
                <w:rFonts w:hint="default" w:ascii="Times New Roman" w:hAnsi="Times New Roman" w:eastAsia="宋体" w:cs="Times New Roman"/>
                <w:color w:val="auto"/>
                <w:sz w:val="24"/>
                <w:szCs w:val="24"/>
                <w:lang w:eastAsia="zh-CN"/>
              </w:rPr>
              <w:t>②</w:t>
            </w:r>
            <w:r>
              <w:rPr>
                <w:rFonts w:hint="default" w:ascii="Times New Roman" w:hAnsi="Times New Roman" w:eastAsia="宋体" w:cs="Times New Roman"/>
                <w:color w:val="auto"/>
                <w:kern w:val="0"/>
                <w:sz w:val="24"/>
                <w:szCs w:val="24"/>
              </w:rPr>
              <w:t>危险废物收集、暂存：危险废物按《国家危险废物名录（</w:t>
            </w:r>
            <w:r>
              <w:rPr>
                <w:rFonts w:hint="default" w:ascii="Times New Roman" w:hAnsi="Times New Roman" w:eastAsia="宋体" w:cs="Times New Roman"/>
                <w:color w:val="auto"/>
                <w:kern w:val="0"/>
                <w:sz w:val="24"/>
                <w:szCs w:val="24"/>
                <w:lang w:val="en-US" w:eastAsia="zh-CN"/>
              </w:rPr>
              <w:t>202</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版）》进行分类；危险废物暂存执行《危险废物贮存污染控制标准》（GB18597-20</w:t>
            </w:r>
            <w:r>
              <w:rPr>
                <w:rFonts w:hint="default" w:ascii="Times New Roman" w:hAnsi="Times New Roman" w:eastAsia="宋体" w:cs="Times New Roman"/>
                <w:color w:val="auto"/>
                <w:kern w:val="0"/>
                <w:sz w:val="24"/>
                <w:szCs w:val="24"/>
                <w:lang w:val="en-US" w:eastAsia="zh-CN"/>
              </w:rPr>
              <w:t>23</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391"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总量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控制</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指标</w:t>
            </w:r>
          </w:p>
        </w:tc>
        <w:tc>
          <w:tcPr>
            <w:tcW w:w="8897" w:type="dxa"/>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snapToGrid w:val="0"/>
                <w:kern w:val="0"/>
                <w:sz w:val="24"/>
              </w:rPr>
              <w:t>根据</w:t>
            </w:r>
            <w:r>
              <w:rPr>
                <w:snapToGrid w:val="0"/>
                <w:kern w:val="0"/>
                <w:sz w:val="24"/>
                <w:lang w:val="en"/>
              </w:rPr>
              <w:t>《</w:t>
            </w:r>
            <w:r>
              <w:rPr>
                <w:rFonts w:hint="eastAsia"/>
                <w:snapToGrid w:val="0"/>
                <w:kern w:val="0"/>
                <w:sz w:val="24"/>
              </w:rPr>
              <w:t>“</w:t>
            </w:r>
            <w:r>
              <w:rPr>
                <w:snapToGrid w:val="0"/>
                <w:kern w:val="0"/>
                <w:sz w:val="24"/>
                <w:lang w:val="en"/>
              </w:rPr>
              <w:t>十四五</w:t>
            </w:r>
            <w:r>
              <w:rPr>
                <w:rFonts w:hint="eastAsia"/>
                <w:snapToGrid w:val="0"/>
                <w:kern w:val="0"/>
                <w:sz w:val="24"/>
              </w:rPr>
              <w:t>”</w:t>
            </w:r>
            <w:r>
              <w:rPr>
                <w:snapToGrid w:val="0"/>
                <w:kern w:val="0"/>
                <w:sz w:val="24"/>
                <w:lang w:val="en"/>
              </w:rPr>
              <w:t>节能减排综合工作方案》</w:t>
            </w:r>
            <w:r>
              <w:rPr>
                <w:rFonts w:hint="eastAsia"/>
                <w:snapToGrid w:val="0"/>
                <w:kern w:val="0"/>
                <w:sz w:val="24"/>
                <w:lang w:val="en"/>
              </w:rPr>
              <w:t>，</w:t>
            </w:r>
            <w:r>
              <w:rPr>
                <w:snapToGrid w:val="0"/>
                <w:kern w:val="0"/>
                <w:sz w:val="24"/>
                <w:lang w:val="en"/>
              </w:rPr>
              <w:t>污染物总量控制指标为：化学需氧量、氨氮、氮氧化物及挥发性有机物。</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z w:val="24"/>
              </w:rPr>
            </w:pPr>
            <w:r>
              <w:rPr>
                <w:rFonts w:hint="default" w:ascii="Times New Roman" w:hAnsi="Times New Roman" w:cs="Times New Roman"/>
                <w:b/>
                <w:bCs/>
                <w:sz w:val="24"/>
              </w:rPr>
              <w:t>废气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项目运营过程中废气污染物主要为</w:t>
            </w:r>
            <w:r>
              <w:rPr>
                <w:rFonts w:hint="default" w:ascii="Times New Roman" w:hAnsi="Times New Roman" w:cs="Times New Roman"/>
                <w:sz w:val="24"/>
                <w:lang w:val="en-US" w:eastAsia="zh-CN"/>
              </w:rPr>
              <w:t>无组织</w:t>
            </w:r>
            <w:r>
              <w:rPr>
                <w:rFonts w:hint="default" w:ascii="Times New Roman" w:hAnsi="Times New Roman" w:cs="Times New Roman"/>
                <w:sz w:val="24"/>
              </w:rPr>
              <w:t>颗粒物，项目不设置总量控制指标</w:t>
            </w:r>
            <w:r>
              <w:rPr>
                <w:rFonts w:hint="default" w:ascii="Times New Roman" w:hAnsi="Times New Roman" w:cs="Times New Roman"/>
                <w:sz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z w:val="24"/>
              </w:rPr>
            </w:pPr>
            <w:r>
              <w:rPr>
                <w:rFonts w:hint="default" w:ascii="Times New Roman" w:hAnsi="Times New Roman" w:cs="Times New Roman"/>
                <w:b/>
                <w:bCs/>
                <w:sz w:val="24"/>
              </w:rPr>
              <w:t>废水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项目废水经</w:t>
            </w:r>
            <w:r>
              <w:rPr>
                <w:rFonts w:hint="default" w:ascii="Times New Roman" w:hAnsi="Times New Roman" w:cs="Times New Roman"/>
                <w:sz w:val="24"/>
                <w:lang w:val="en-US" w:eastAsia="zh-CN"/>
              </w:rPr>
              <w:t>处理后</w:t>
            </w:r>
            <w:r>
              <w:rPr>
                <w:rFonts w:hint="default" w:ascii="Times New Roman" w:hAnsi="Times New Roman" w:cs="Times New Roman"/>
                <w:sz w:val="24"/>
              </w:rPr>
              <w:t>回用，不外排，项目不设置废水总量控制指标。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snapToGrid w:val="0"/>
                <w:kern w:val="0"/>
                <w:sz w:val="24"/>
              </w:rPr>
            </w:pPr>
            <w:r>
              <w:rPr>
                <w:rFonts w:hint="default" w:ascii="Times New Roman" w:hAnsi="Times New Roman" w:cs="Times New Roman"/>
                <w:b/>
                <w:bCs/>
                <w:snapToGrid w:val="0"/>
                <w:kern w:val="0"/>
                <w:sz w:val="24"/>
              </w:rPr>
              <w:t>3、固废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snapToGrid w:val="0"/>
                <w:kern w:val="0"/>
                <w:sz w:val="24"/>
              </w:rPr>
              <w:t>运营期固体废物处置率为100%，不设总量控制指标。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pStyle w:val="25"/>
              <w:ind w:left="0" w:leftChars="0" w:firstLine="0" w:firstLineChars="0"/>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5"/>
              <w:rPr>
                <w:rFonts w:hint="default" w:ascii="Times New Roman" w:hAnsi="Times New Roman" w:eastAsia="宋体" w:cs="Times New Roman"/>
                <w:color w:val="auto"/>
                <w:sz w:val="24"/>
                <w:szCs w:val="24"/>
                <w:lang w:eastAsia="zh-CN"/>
              </w:rPr>
            </w:pPr>
          </w:p>
          <w:p>
            <w:pPr>
              <w:rPr>
                <w:rFonts w:hint="default"/>
                <w:lang w:eastAsia="zh-CN"/>
              </w:rPr>
            </w:pPr>
          </w:p>
        </w:tc>
      </w:tr>
    </w:tbl>
    <w:p>
      <w:pPr>
        <w:rPr>
          <w:rFonts w:ascii="Times New Roman" w:hAnsi="Times New Roman" w:eastAsia="黑体" w:cs="Times New Roman"/>
          <w:color w:val="auto"/>
          <w:sz w:val="30"/>
          <w:szCs w:val="30"/>
        </w:rPr>
      </w:pPr>
      <w:bookmarkStart w:id="9" w:name="_Toc81399065"/>
      <w:r>
        <w:rPr>
          <w:rFonts w:ascii="Times New Roman" w:hAnsi="Times New Roman" w:eastAsia="黑体" w:cs="Times New Roman"/>
          <w:color w:val="auto"/>
          <w:sz w:val="30"/>
          <w:szCs w:val="30"/>
        </w:rPr>
        <w:br w:type="page"/>
      </w:r>
    </w:p>
    <w:bookmarkEnd w:id="9"/>
    <w:p>
      <w:pPr>
        <w:pStyle w:val="2"/>
        <w:adjustRightInd w:val="0"/>
        <w:snapToGrid w:val="0"/>
        <w:spacing w:before="62" w:beforeLines="20" w:after="31" w:afterLines="10" w:line="360" w:lineRule="auto"/>
        <w:jc w:val="center"/>
        <w:rPr>
          <w:rFonts w:ascii="Times New Roman" w:hAnsi="Times New Roman" w:eastAsia="黑体" w:cs="Times New Roman"/>
          <w:b w:val="0"/>
          <w:color w:val="auto"/>
          <w:sz w:val="30"/>
          <w:szCs w:val="30"/>
        </w:rPr>
      </w:pPr>
      <w:bookmarkStart w:id="10" w:name="_Toc13470"/>
      <w:bookmarkStart w:id="11" w:name="_Toc31147"/>
      <w:r>
        <w:rPr>
          <w:rFonts w:ascii="Times New Roman" w:hAnsi="Times New Roman" w:eastAsia="黑体" w:cs="Times New Roman"/>
          <w:b w:val="0"/>
          <w:color w:val="auto"/>
          <w:sz w:val="30"/>
          <w:szCs w:val="30"/>
        </w:rPr>
        <w:t>四、主要环境影响和保护措施</w:t>
      </w:r>
      <w:bookmarkEnd w:id="10"/>
    </w:p>
    <w:tbl>
      <w:tblPr>
        <w:tblStyle w:val="26"/>
        <w:tblW w:w="944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6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755" w:type="dxa"/>
            <w:tcMar>
              <w:left w:w="28" w:type="dxa"/>
              <w:right w:w="28" w:type="dxa"/>
            </w:tcMar>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施工</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期环</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境保</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护措</w:t>
            </w:r>
          </w:p>
          <w:p>
            <w:pPr>
              <w:pStyle w:val="23"/>
              <w:adjustRightInd w:val="0"/>
              <w:snapToGrid w:val="0"/>
              <w:spacing w:before="0" w:beforeAutospacing="0" w:after="0" w:afterAutospacing="0"/>
              <w:jc w:val="center"/>
              <w:rPr>
                <w:rFonts w:hint="default" w:ascii="Times New Roman" w:hAnsi="Times New Roman" w:eastAsia="宋体" w:cs="Times New Roman"/>
                <w:bCs/>
                <w:color w:val="auto"/>
                <w:szCs w:val="24"/>
              </w:rPr>
            </w:pPr>
            <w:r>
              <w:rPr>
                <w:rFonts w:hint="default" w:ascii="Times New Roman" w:hAnsi="Times New Roman" w:eastAsia="宋体" w:cs="Times New Roman"/>
                <w:color w:val="auto"/>
                <w:szCs w:val="24"/>
              </w:rPr>
              <w:t>施</w:t>
            </w:r>
          </w:p>
        </w:tc>
        <w:tc>
          <w:tcPr>
            <w:tcW w:w="8694" w:type="dxa"/>
          </w:tcPr>
          <w:p>
            <w:pPr>
              <w:pStyle w:val="81"/>
              <w:keepNext w:val="0"/>
              <w:keepLines w:val="0"/>
              <w:pageBreakBefore w:val="0"/>
              <w:kinsoku/>
              <w:wordWrap/>
              <w:overflowPunct/>
              <w:topLinePunct w:val="0"/>
              <w:bidi w:val="0"/>
              <w:adjustRightInd/>
              <w:snapToGrid/>
              <w:spacing w:before="0" w:after="0" w:line="360" w:lineRule="auto"/>
              <w:ind w:left="0" w:firstLine="482"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2" w:name="_Toc14533"/>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color w:val="000000" w:themeColor="text1"/>
                <w:sz w:val="24"/>
                <w:szCs w:val="24"/>
                <w14:textFill>
                  <w14:solidFill>
                    <w14:schemeClr w14:val="tx1"/>
                  </w14:solidFill>
                </w14:textFill>
              </w:rPr>
              <w:t>施工期环境影响分析</w:t>
            </w:r>
            <w:bookmarkEnd w:id="12"/>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14:textFill>
                  <w14:solidFill>
                    <w14:schemeClr w14:val="tx1"/>
                  </w14:solidFill>
                </w14:textFill>
              </w:rPr>
            </w:pPr>
            <w:bookmarkStart w:id="13" w:name="_Toc430953890"/>
            <w:bookmarkStart w:id="14" w:name="_Toc283287871"/>
            <w:bookmarkStart w:id="15" w:name="_Toc450603590"/>
            <w:bookmarkStart w:id="16" w:name="_Toc430201399"/>
            <w:bookmarkStart w:id="17" w:name="_Toc421915884"/>
            <w:bookmarkStart w:id="18" w:name="_Toc430953682"/>
            <w:bookmarkStart w:id="19" w:name="_Toc410033853"/>
            <w:r>
              <w:rPr>
                <w:rFonts w:hint="default" w:ascii="Times New Roman" w:hAnsi="Times New Roman" w:eastAsia="宋体" w:cs="Times New Roman"/>
                <w:b/>
                <w:bCs/>
                <w:color w:val="000000" w:themeColor="text1"/>
                <w:sz w:val="24"/>
                <w:szCs w:val="24"/>
                <w14:textFill>
                  <w14:solidFill>
                    <w14:schemeClr w14:val="tx1"/>
                  </w14:solidFill>
                </w14:textFill>
              </w:rPr>
              <w:t>1施工期环境空气影响分析</w:t>
            </w:r>
            <w:bookmarkEnd w:id="13"/>
            <w:bookmarkEnd w:id="14"/>
            <w:bookmarkEnd w:id="15"/>
            <w:bookmarkEnd w:id="16"/>
            <w:bookmarkEnd w:id="17"/>
            <w:bookmarkEnd w:id="18"/>
            <w:bookmarkEnd w:id="19"/>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20" w:name="_Toc450603591"/>
            <w:r>
              <w:rPr>
                <w:rFonts w:hint="default" w:ascii="Times New Roman" w:hAnsi="Times New Roman" w:eastAsia="宋体" w:cs="Times New Roman"/>
                <w:color w:val="000000" w:themeColor="text1"/>
                <w:sz w:val="24"/>
                <w:szCs w:val="24"/>
                <w14:textFill>
                  <w14:solidFill>
                    <w14:schemeClr w14:val="tx1"/>
                  </w14:solidFill>
                </w14:textFill>
              </w:rPr>
              <w:t>项目建设施工过程中，各种燃油动力机械和运输车辆排放的废气，建材运输、露天堆放、装卸和搅拌粉尘都会给周围大气环境带来污染。主要污染物是NO</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、SO</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和粉尘。</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（1）施工机械和运输车辆废气</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施工过程中需要使用机械设备和运输车辆；这些设备和车辆均使用柴油发动机，因此，这些车辆及设备在运行时会排放一定量的CO、NO</w:t>
            </w:r>
            <w:r>
              <w:rPr>
                <w:rFonts w:hint="default" w:ascii="Times New Roman" w:hAnsi="Times New Roman" w:eastAsia="宋体" w:cs="Times New Roman"/>
                <w:color w:val="000000" w:themeColor="text1"/>
                <w:sz w:val="24"/>
                <w:szCs w:val="24"/>
                <w:vertAlign w:val="subscript"/>
                <w14:textFill>
                  <w14:solidFill>
                    <w14:schemeClr w14:val="tx1"/>
                  </w14:solidFill>
                </w14:textFill>
              </w:rPr>
              <w:t>x</w:t>
            </w:r>
            <w:r>
              <w:rPr>
                <w:rFonts w:hint="default" w:ascii="Times New Roman" w:hAnsi="Times New Roman" w:eastAsia="宋体" w:cs="Times New Roman"/>
                <w:color w:val="000000" w:themeColor="text1"/>
                <w:sz w:val="24"/>
                <w:szCs w:val="24"/>
                <w14:textFill>
                  <w14:solidFill>
                    <w14:schemeClr w14:val="tx1"/>
                  </w14:solidFill>
                </w14:textFill>
              </w:rPr>
              <w:t>以及未完全燃烧的碳氢化物非甲烷总烃等大气污染物，会对环境产生一定的影响。故需要加强施工机械和运输车辆的维修保养，选用符合国家污染物排放标准的施工机械和运输车辆。</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（2）扬尘</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在整个施工期间，产生粉尘的作业主要有建材运输、露天堆放、装卸和搅拌过程。如遇干旱无雨季节，在大风季节，施工扬尘将较严重。建设施工单位必须严格控制扬尘产生的降尘抑制措施，主要措施包括：从事建筑垃圾运输的车辆要进行车辆密闭化运输，车厢顶面覆盖等封闭运输措施；施工现场出入口要做到混凝土硬化、配备有高压水枪清洗轮胎及车身的洗车平台，土方开挖工程要实行湿法作业；加大道路的洒水、冲水频次，抑制道路扬尘等。</w:t>
            </w:r>
          </w:p>
          <w:bookmarkEnd w:id="20"/>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21" w:name="_Toc421915885"/>
            <w:bookmarkStart w:id="22" w:name="_Toc450603593"/>
            <w:bookmarkStart w:id="23" w:name="_Toc430201400"/>
            <w:bookmarkStart w:id="24" w:name="_Toc430953891"/>
            <w:bookmarkStart w:id="25" w:name="_Toc283287872"/>
            <w:bookmarkStart w:id="26" w:name="_Toc430953683"/>
            <w:bookmarkStart w:id="27" w:name="_Toc410033854"/>
            <w:r>
              <w:rPr>
                <w:rFonts w:hint="default" w:ascii="Times New Roman" w:hAnsi="Times New Roman" w:eastAsia="宋体" w:cs="Times New Roman"/>
                <w:color w:val="000000" w:themeColor="text1"/>
                <w:sz w:val="24"/>
                <w:szCs w:val="24"/>
                <w14:textFill>
                  <w14:solidFill>
                    <w14:schemeClr w14:val="tx1"/>
                  </w14:solidFill>
                </w14:textFill>
              </w:rPr>
              <w:t>施工期工人均来自附近的村庄，不在厂区内食宿，不产生油烟。</w:t>
            </w:r>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施工期地表水环境影响分析</w:t>
            </w:r>
            <w:bookmarkEnd w:id="21"/>
            <w:bookmarkEnd w:id="22"/>
            <w:bookmarkEnd w:id="23"/>
            <w:bookmarkEnd w:id="24"/>
            <w:bookmarkEnd w:id="25"/>
            <w:bookmarkEnd w:id="26"/>
            <w:bookmarkEnd w:id="27"/>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28" w:name="_Toc450603594"/>
            <w:r>
              <w:rPr>
                <w:rFonts w:hint="default" w:ascii="Times New Roman" w:hAnsi="Times New Roman" w:eastAsia="宋体" w:cs="Times New Roman"/>
                <w:color w:val="000000" w:themeColor="text1"/>
                <w:sz w:val="24"/>
                <w:szCs w:val="24"/>
                <w14:textFill>
                  <w14:solidFill>
                    <w14:schemeClr w14:val="tx1"/>
                  </w14:solidFill>
                </w14:textFill>
              </w:rPr>
              <w:t>施工期废水主要为施工人员生活污水、施工废水。</w:t>
            </w:r>
          </w:p>
          <w:p>
            <w:pPr>
              <w:keepNext w:val="0"/>
              <w:keepLines w:val="0"/>
              <w:pageBreakBefore w:val="0"/>
              <w:kinsoku/>
              <w:wordWrap/>
              <w:overflowPunct/>
              <w:topLinePunct w:val="0"/>
              <w:autoSpaceDE w:val="0"/>
              <w:autoSpaceDN w:val="0"/>
              <w:bidi w:val="0"/>
              <w:adjustRightInd/>
              <w:snapToGrid/>
              <w:spacing w:line="360" w:lineRule="auto"/>
              <w:ind w:left="0" w:firstLine="482" w:firstLineChars="20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14:textFill>
                  <w14:solidFill>
                    <w14:schemeClr w14:val="tx1"/>
                  </w14:solidFill>
                </w14:textFill>
              </w:rPr>
              <w:t>施工生活污水影响分析</w:t>
            </w:r>
            <w:bookmarkEnd w:id="28"/>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施工期生活污水主要是工人日常生活排放的，主要污染物为COD、BOD</w:t>
            </w:r>
            <w:r>
              <w:rPr>
                <w:rFonts w:hint="default" w:ascii="Times New Roman" w:hAnsi="Times New Roman" w:eastAsia="宋体" w:cs="Times New Roman"/>
                <w:color w:val="000000" w:themeColor="text1"/>
                <w:sz w:val="24"/>
                <w:szCs w:val="24"/>
                <w:vertAlign w:val="subscript"/>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、SS和氨氮，由工程分析可知，生活污水产生量为0.8m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/d。其中较清洁部分生活污水并入施工废水一起经沉淀池处理后用于施工场地内的洒水降尘，不直接排放至附近的地表水中；粪便污水排入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旱厕</w:t>
            </w:r>
            <w:r>
              <w:rPr>
                <w:rFonts w:hint="default" w:ascii="Times New Roman" w:hAnsi="Times New Roman" w:eastAsia="宋体" w:cs="Times New Roman"/>
                <w:color w:val="000000" w:themeColor="text1"/>
                <w:sz w:val="24"/>
                <w:szCs w:val="24"/>
                <w14:textFill>
                  <w14:solidFill>
                    <w14:schemeClr w14:val="tx1"/>
                  </w14:solidFill>
                </w14:textFill>
              </w:rPr>
              <w:t>。因此，本项目施工期无施工废水外排。</w:t>
            </w:r>
          </w:p>
          <w:p>
            <w:pPr>
              <w:keepNext w:val="0"/>
              <w:keepLines w:val="0"/>
              <w:pageBreakBefore w:val="0"/>
              <w:kinsoku/>
              <w:wordWrap/>
              <w:overflowPunct/>
              <w:topLinePunct w:val="0"/>
              <w:autoSpaceDE w:val="0"/>
              <w:autoSpaceDN w:val="0"/>
              <w:bidi w:val="0"/>
              <w:adjustRightInd/>
              <w:snapToGrid/>
              <w:spacing w:line="360" w:lineRule="auto"/>
              <w:ind w:left="0" w:firstLine="482" w:firstLineChars="20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bookmarkStart w:id="29" w:name="_Toc450603595"/>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14:textFill>
                  <w14:solidFill>
                    <w14:schemeClr w14:val="tx1"/>
                  </w14:solidFill>
                </w14:textFill>
              </w:rPr>
              <w:t>施工废水影响分析</w:t>
            </w:r>
            <w:bookmarkEnd w:id="29"/>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施工废水主要为混凝土养护废水、工具清洗废水等。废水中所含污染物主要为SS，浓度约为300mg/L左右。设置施工废水沉淀池1个（2m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），大大降低废水中SS的含量，经沉淀后循环使用，不外排。</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施工期产生的生产废水经收集池收集后回用于洒水降尘，不外排；雨天降雨冲刷水</w:t>
            </w:r>
            <w:r>
              <w:rPr>
                <w:rFonts w:hint="default" w:ascii="Times New Roman" w:hAnsi="Times New Roman" w:eastAsia="宋体" w:cs="Times New Roman"/>
                <w:bCs/>
                <w:color w:val="000000" w:themeColor="text1"/>
                <w:sz w:val="24"/>
                <w:szCs w:val="24"/>
                <w14:textFill>
                  <w14:solidFill>
                    <w14:schemeClr w14:val="tx1"/>
                  </w14:solidFill>
                </w14:textFill>
              </w:rPr>
              <w:t>通过设置沉淀池沉淀处理后用于晴天场地洒水降尘，</w:t>
            </w:r>
            <w:r>
              <w:rPr>
                <w:rFonts w:hint="default" w:ascii="Times New Roman" w:hAnsi="Times New Roman" w:eastAsia="宋体" w:cs="Times New Roman"/>
                <w:color w:val="000000" w:themeColor="text1"/>
                <w:sz w:val="24"/>
                <w:szCs w:val="24"/>
                <w14:textFill>
                  <w14:solidFill>
                    <w14:schemeClr w14:val="tx1"/>
                  </w14:solidFill>
                </w14:textFill>
              </w:rPr>
              <w:t>生活污水依托现有设施处理，不外排。不会对地表水环境产生影响。</w:t>
            </w:r>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lang w:eastAsia="zh-CN"/>
                <w14:textFill>
                  <w14:solidFill>
                    <w14:schemeClr w14:val="tx1"/>
                  </w14:solidFill>
                </w14:textFill>
              </w:rPr>
            </w:pPr>
            <w:bookmarkStart w:id="30" w:name="_Toc283287873"/>
            <w:bookmarkStart w:id="31" w:name="_Toc450603598"/>
            <w:bookmarkStart w:id="32" w:name="_Toc410033855"/>
            <w:bookmarkStart w:id="33" w:name="_Toc430953892"/>
            <w:bookmarkStart w:id="34" w:name="_Toc430201401"/>
            <w:bookmarkStart w:id="35" w:name="_Toc421915886"/>
            <w:bookmarkStart w:id="36" w:name="_Toc430953684"/>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施工期声环境影响</w:t>
            </w:r>
            <w:bookmarkEnd w:id="30"/>
            <w:bookmarkEnd w:id="31"/>
            <w:bookmarkEnd w:id="32"/>
            <w:bookmarkEnd w:id="33"/>
            <w:bookmarkEnd w:id="34"/>
            <w:bookmarkEnd w:id="35"/>
            <w:bookmarkEnd w:id="36"/>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分析</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37" w:name="_Toc430201402"/>
            <w:bookmarkStart w:id="38" w:name="_Toc421915887"/>
            <w:bookmarkStart w:id="39" w:name="_Toc430953893"/>
            <w:bookmarkStart w:id="40" w:name="_Toc450603599"/>
            <w:bookmarkStart w:id="41" w:name="_Toc283287874"/>
            <w:bookmarkStart w:id="42" w:name="_Toc410033856"/>
            <w:bookmarkStart w:id="43" w:name="_Toc430953685"/>
            <w:r>
              <w:rPr>
                <w:rFonts w:hint="default" w:ascii="Times New Roman" w:hAnsi="Times New Roman" w:eastAsia="宋体" w:cs="Times New Roman"/>
                <w:color w:val="000000" w:themeColor="text1"/>
                <w:kern w:val="0"/>
                <w:sz w:val="24"/>
                <w:szCs w:val="24"/>
                <w14:textFill>
                  <w14:solidFill>
                    <w14:schemeClr w14:val="tx1"/>
                  </w14:solidFill>
                </w14:textFill>
              </w:rPr>
              <w:t>项目施工期的噪声主要来自于各种施工机械和车辆运输产生的作业噪声，施工机械噪声强度在85～95dB</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A</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之间，项目施工期噪声防治措施如下：</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1）合理布置施工总平面图，将高噪声的作业点布置在施工场地中部，即有效利用噪声传播距离衰减作用减轻施工噪声对周围环境的影响。</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合理安排施工时间，强噪声施工作业安排在昼间进行，禁止夜间（时间为22：00至次日6：00）施工扰民。如遇到特殊工艺要求在夜间连续施工的情况，建设单位必须具有关主管部门的证明，且必须公告附近居民及单位。</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14:textFill>
                  <w14:solidFill>
                    <w14:schemeClr w14:val="tx1"/>
                  </w14:solidFill>
                </w14:textFill>
              </w:rPr>
              <w:t>）文明施工，严禁抛掷。</w:t>
            </w:r>
          </w:p>
          <w:p>
            <w:pPr>
              <w:keepNext w:val="0"/>
              <w:keepLines w:val="0"/>
              <w:pageBreakBefore w:val="0"/>
              <w:widowControl/>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14:textFill>
                  <w14:solidFill>
                    <w14:schemeClr w14:val="tx1"/>
                  </w14:solidFill>
                </w14:textFill>
              </w:rPr>
              <w:t>）加强施工场地车辆的管理，低速行驶，尽量减少鸣喇叭次数及汽车启动频率。</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outlineLvl w:val="3"/>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由于项目施工过程均在昼间进行，夜间不进行施工。施工噪声影响是暂时、局部的，随着施工结束影响将消失。所以项目施工噪声对周围声环境影响是可以接受的。</w:t>
            </w:r>
          </w:p>
          <w:p>
            <w:pPr>
              <w:keepNext w:val="0"/>
              <w:keepLines w:val="0"/>
              <w:pageBreakBefore w:val="0"/>
              <w:kinsoku/>
              <w:wordWrap/>
              <w:overflowPunct/>
              <w:topLinePunct w:val="0"/>
              <w:bidi w:val="0"/>
              <w:adjustRightInd/>
              <w:snapToGrid/>
              <w:spacing w:line="360" w:lineRule="auto"/>
              <w:ind w:left="0" w:firstLine="482" w:firstLineChars="200"/>
              <w:jc w:val="both"/>
              <w:textAlignment w:val="auto"/>
              <w:outlineLvl w:val="3"/>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14:textFill>
                  <w14:solidFill>
                    <w14:schemeClr w14:val="tx1"/>
                  </w14:solidFill>
                </w14:textFill>
              </w:rPr>
              <w:t>施工期固废影响分析</w:t>
            </w:r>
            <w:bookmarkEnd w:id="37"/>
            <w:bookmarkEnd w:id="38"/>
            <w:bookmarkEnd w:id="39"/>
            <w:bookmarkEnd w:id="40"/>
            <w:bookmarkEnd w:id="41"/>
            <w:bookmarkEnd w:id="42"/>
            <w:bookmarkEnd w:id="43"/>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施工期的固体废物主要为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土石方</w:t>
            </w:r>
            <w:r>
              <w:rPr>
                <w:rFonts w:hint="default" w:ascii="Times New Roman" w:hAnsi="Times New Roman" w:eastAsia="宋体" w:cs="Times New Roman"/>
                <w:color w:val="000000" w:themeColor="text1"/>
                <w:sz w:val="24"/>
                <w:szCs w:val="24"/>
                <w14:textFill>
                  <w14:solidFill>
                    <w14:schemeClr w14:val="tx1"/>
                  </w14:solidFill>
                </w14:textFill>
              </w:rPr>
              <w:t>及施工人员生活垃圾。</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土石方</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w:t>
            </w:r>
            <w:r>
              <w:rPr>
                <w:rFonts w:hint="eastAsia" w:ascii="Times New Roman" w:hAnsi="Times New Roman" w:eastAsia="宋体" w:cs="Times New Roman"/>
                <w:color w:val="000000" w:themeColor="text1"/>
                <w:sz w:val="24"/>
                <w:szCs w:val="24"/>
                <w14:textFill>
                  <w14:solidFill>
                    <w14:schemeClr w14:val="tx1"/>
                  </w14:solidFill>
                </w14:textFill>
              </w:rPr>
              <w:t>现场踏勘，项目区已场地平整，项目工程土方开挖量较少，用于场区坑洼场地平整。本项目土石方在项目区内相互调用后，做到区内平衡，不产生永久弃渣。</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生活垃圾</w:t>
            </w:r>
          </w:p>
          <w:p>
            <w:pPr>
              <w:keepNext w:val="0"/>
              <w:keepLines w:val="0"/>
              <w:pageBreakBefore w:val="0"/>
              <w:kinsoku/>
              <w:wordWrap/>
              <w:overflowPunct/>
              <w:topLinePunct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施工人员平均约为20人/d，均为附近村民，不在项目区食宿，生活垃圾产生量按0.5kg/d·人计，项目整个施工期为1个月，即30天，则项目施工期产生的生活垃圾量为10kg/d、0.3t，统一收集送生活区垃圾收集房堆存，后由建设单位清运至生活垃圾指定地点处理。</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根据分析，项目施工期产生的废气、废水、废渣及噪声等，采取措施后，污染物均达标排放或妥善处理，对环境影响不大，且项目施工期工程量较小，随施工的结束而消失。</w:t>
            </w:r>
          </w:p>
          <w:p>
            <w:pPr>
              <w:rPr>
                <w:rFonts w:hint="default"/>
              </w:rPr>
            </w:pPr>
          </w:p>
        </w:tc>
      </w:tr>
    </w:tbl>
    <w:p>
      <w:pPr>
        <w:adjustRightInd w:val="0"/>
        <w:snapToGrid w:val="0"/>
        <w:jc w:val="center"/>
        <w:rPr>
          <w:rFonts w:hint="default" w:ascii="Times New Roman" w:hAnsi="Times New Roman" w:eastAsia="宋体" w:cs="Times New Roman"/>
          <w:bCs/>
          <w:color w:val="auto"/>
          <w:sz w:val="24"/>
          <w:szCs w:val="24"/>
        </w:rPr>
        <w:sectPr>
          <w:footerReference r:id="rId5" w:type="default"/>
          <w:pgSz w:w="11906" w:h="16838"/>
          <w:pgMar w:top="646" w:right="1417" w:bottom="646"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7"/>
        <w:tblW w:w="15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2" w:hRule="atLeast"/>
        </w:trPr>
        <w:tc>
          <w:tcPr>
            <w:tcW w:w="5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运营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期环</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境影</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响和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保护</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highlight w:val="none"/>
                <w:vertAlign w:val="baseline"/>
              </w:rPr>
            </w:pPr>
            <w:r>
              <w:rPr>
                <w:rFonts w:hint="eastAsia" w:ascii="宋体" w:hAnsi="宋体" w:cs="宋体"/>
                <w:bCs/>
                <w:color w:val="auto"/>
                <w:kern w:val="0"/>
                <w:sz w:val="24"/>
                <w:highlight w:val="none"/>
              </w:rPr>
              <w:t>措施</w:t>
            </w:r>
          </w:p>
        </w:tc>
        <w:tc>
          <w:tcPr>
            <w:tcW w:w="1519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kern w:val="0"/>
                <w:sz w:val="24"/>
                <w:szCs w:val="32"/>
                <w:highlight w:val="none"/>
              </w:rPr>
            </w:pPr>
            <w:r>
              <w:rPr>
                <w:rFonts w:hint="eastAsia"/>
                <w:b/>
                <w:bCs/>
                <w:color w:val="auto"/>
                <w:kern w:val="0"/>
                <w:sz w:val="24"/>
                <w:szCs w:val="32"/>
                <w:highlight w:val="none"/>
                <w:lang w:eastAsia="zh-CN"/>
              </w:rPr>
              <w:t>一、</w:t>
            </w:r>
            <w:r>
              <w:rPr>
                <w:b/>
                <w:bCs/>
                <w:color w:val="auto"/>
                <w:kern w:val="0"/>
                <w:sz w:val="24"/>
                <w:szCs w:val="32"/>
                <w:highlight w:val="none"/>
              </w:rPr>
              <w:t>废气</w:t>
            </w:r>
          </w:p>
          <w:p>
            <w:pPr>
              <w:pStyle w:val="7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lang w:val="en-US" w:eastAsia="zh-CN"/>
              </w:rPr>
              <w:t>1、</w:t>
            </w:r>
            <w:r>
              <w:rPr>
                <w:rFonts w:hint="eastAsia" w:ascii="Times New Roman" w:hAnsi="Times New Roman" w:eastAsia="宋体" w:cs="Times New Roman"/>
                <w:b/>
                <w:color w:val="auto"/>
                <w:kern w:val="0"/>
                <w:sz w:val="24"/>
                <w:highlight w:val="none"/>
                <w:lang w:val="en-US" w:eastAsia="zh-CN"/>
              </w:rPr>
              <w:t>年产10万吨砂石料生产线</w:t>
            </w:r>
            <w:r>
              <w:rPr>
                <w:rFonts w:hint="default" w:ascii="Times New Roman" w:hAnsi="Times New Roman" w:eastAsia="宋体" w:cs="Times New Roman"/>
                <w:b/>
                <w:color w:val="auto"/>
                <w:kern w:val="0"/>
                <w:sz w:val="24"/>
                <w:highlight w:val="none"/>
              </w:rPr>
              <w:t>废气污染源源强核算结果及相关参数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表4-1项目废气污染源源强核算结果及相关参数一览表</w:t>
            </w:r>
          </w:p>
          <w:tbl>
            <w:tblPr>
              <w:tblStyle w:val="26"/>
              <w:tblW w:w="14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1"/>
              <w:gridCol w:w="890"/>
              <w:gridCol w:w="1396"/>
              <w:gridCol w:w="892"/>
              <w:gridCol w:w="1702"/>
              <w:gridCol w:w="1729"/>
              <w:gridCol w:w="1396"/>
              <w:gridCol w:w="167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序号</w:t>
                  </w:r>
                </w:p>
              </w:tc>
              <w:tc>
                <w:tcPr>
                  <w:tcW w:w="1131"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产排污环节</w:t>
                  </w:r>
                </w:p>
              </w:tc>
              <w:tc>
                <w:tcPr>
                  <w:tcW w:w="89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污染物产生</w:t>
                  </w:r>
                </w:p>
              </w:tc>
              <w:tc>
                <w:tcPr>
                  <w:tcW w:w="892"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排放形式</w:t>
                  </w:r>
                </w:p>
              </w:tc>
              <w:tc>
                <w:tcPr>
                  <w:tcW w:w="3431"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治理设施</w:t>
                  </w:r>
                </w:p>
              </w:tc>
              <w:tc>
                <w:tcPr>
                  <w:tcW w:w="3066"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污染物排放</w:t>
                  </w:r>
                </w:p>
              </w:tc>
              <w:tc>
                <w:tcPr>
                  <w:tcW w:w="3211"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113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89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13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产生量（t/a）</w:t>
                  </w:r>
                </w:p>
              </w:tc>
              <w:tc>
                <w:tcPr>
                  <w:tcW w:w="892"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rPr>
                  </w:pPr>
                </w:p>
              </w:tc>
              <w:tc>
                <w:tcPr>
                  <w:tcW w:w="1702"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工艺</w:t>
                  </w:r>
                </w:p>
              </w:tc>
              <w:tc>
                <w:tcPr>
                  <w:tcW w:w="172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效率（%）</w:t>
                  </w:r>
                </w:p>
              </w:tc>
              <w:tc>
                <w:tcPr>
                  <w:tcW w:w="13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排放量（t/a）</w:t>
                  </w:r>
                </w:p>
              </w:tc>
              <w:tc>
                <w:tcPr>
                  <w:tcW w:w="167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rPr>
                    <w:t>排放速率（kg/h）</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rPr>
                    <w:t>1</w:t>
                  </w:r>
                </w:p>
              </w:tc>
              <w:tc>
                <w:tcPr>
                  <w:tcW w:w="113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装卸粉尘</w:t>
                  </w:r>
                </w:p>
              </w:tc>
              <w:tc>
                <w:tcPr>
                  <w:tcW w:w="89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22.47</w:t>
                  </w:r>
                </w:p>
              </w:tc>
              <w:tc>
                <w:tcPr>
                  <w:tcW w:w="892"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洒水</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74</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0.058</w:t>
                  </w:r>
                </w:p>
              </w:tc>
              <w:tc>
                <w:tcPr>
                  <w:tcW w:w="167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019</w:t>
                  </w:r>
                </w:p>
              </w:tc>
              <w:tc>
                <w:tcPr>
                  <w:tcW w:w="3211"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r>
                    <w:rPr>
                      <w:rFonts w:hint="default" w:ascii="Times New Roman" w:hAnsi="Times New Roman" w:eastAsia="宋体" w:cs="Times New Roman"/>
                      <w:b w:val="0"/>
                      <w:bCs w:val="0"/>
                      <w:color w:val="auto"/>
                      <w:sz w:val="21"/>
                      <w:szCs w:val="21"/>
                      <w:highlight w:val="none"/>
                      <w:lang w:eastAsia="zh-CN"/>
                    </w:rPr>
                    <w:t>《大气污染物综合排放标准》（GB16297-1996）</w:t>
                  </w:r>
                  <w:r>
                    <w:rPr>
                      <w:rFonts w:hint="default" w:ascii="Times New Roman" w:hAnsi="Times New Roman" w:eastAsia="宋体" w:cs="Times New Roman"/>
                      <w:b w:val="0"/>
                      <w:bCs w:val="0"/>
                      <w:color w:val="auto"/>
                      <w:sz w:val="21"/>
                      <w:szCs w:val="21"/>
                      <w:highlight w:val="none"/>
                      <w:lang w:val="en-US" w:eastAsia="zh-CN"/>
                    </w:rPr>
                    <w:t>及修改单</w:t>
                  </w:r>
                  <w:r>
                    <w:rPr>
                      <w:rFonts w:hint="default" w:ascii="Times New Roman" w:hAnsi="Times New Roman" w:eastAsia="宋体" w:cs="Times New Roman"/>
                      <w:b w:val="0"/>
                      <w:bCs w:val="0"/>
                      <w:color w:val="auto"/>
                      <w:sz w:val="21"/>
                      <w:szCs w:val="21"/>
                      <w:highlight w:val="none"/>
                      <w:lang w:eastAsia="zh-CN"/>
                    </w:rPr>
                    <w:t>表2中的二级标准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892"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厂房阻隔</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99</w:t>
                  </w: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w:t>
                  </w:r>
                </w:p>
              </w:tc>
              <w:tc>
                <w:tcPr>
                  <w:tcW w:w="1131" w:type="dxa"/>
                  <w:vMerge w:val="restart"/>
                  <w:noWrap w:val="0"/>
                  <w:vAlign w:val="center"/>
                </w:tcPr>
                <w:p>
                  <w:pPr>
                    <w:pStyle w:val="7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lang w:val="en-US" w:eastAsia="zh-CN"/>
                    </w:rPr>
                    <w:t>进料粉尘</w:t>
                  </w:r>
                </w:p>
              </w:tc>
              <w:tc>
                <w:tcPr>
                  <w:tcW w:w="89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066</w:t>
                  </w:r>
                </w:p>
              </w:tc>
              <w:tc>
                <w:tcPr>
                  <w:tcW w:w="892"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洒水</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74</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0.0</w:t>
                  </w:r>
                  <w:r>
                    <w:rPr>
                      <w:rFonts w:hint="eastAsia" w:ascii="Times New Roman" w:hAnsi="Times New Roman" w:eastAsia="宋体" w:cs="Times New Roman"/>
                      <w:b w:val="0"/>
                      <w:bCs w:val="0"/>
                      <w:color w:val="auto"/>
                      <w:kern w:val="0"/>
                      <w:sz w:val="21"/>
                      <w:szCs w:val="21"/>
                      <w:highlight w:val="none"/>
                      <w:lang w:val="en-US" w:eastAsia="zh-CN" w:bidi="ar-SA"/>
                    </w:rPr>
                    <w:t>07</w:t>
                  </w:r>
                </w:p>
              </w:tc>
              <w:tc>
                <w:tcPr>
                  <w:tcW w:w="167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0.0</w:t>
                  </w:r>
                  <w:r>
                    <w:rPr>
                      <w:rFonts w:hint="eastAsia" w:ascii="Times New Roman" w:hAnsi="Times New Roman" w:eastAsia="宋体" w:cs="Times New Roman"/>
                      <w:b w:val="0"/>
                      <w:bCs w:val="0"/>
                      <w:color w:val="auto"/>
                      <w:kern w:val="0"/>
                      <w:sz w:val="21"/>
                      <w:szCs w:val="21"/>
                      <w:highlight w:val="none"/>
                      <w:lang w:val="en-US" w:eastAsia="zh-CN" w:bidi="ar-SA"/>
                    </w:rPr>
                    <w:t>02</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89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892"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b w:val="0"/>
                      <w:bCs w:val="0"/>
                      <w:sz w:val="21"/>
                      <w:szCs w:val="21"/>
                    </w:rPr>
                    <w:t>半敞开式厂房</w:t>
                  </w:r>
                  <w:r>
                    <w:rPr>
                      <w:rFonts w:hint="default" w:ascii="Times New Roman" w:hAnsi="Times New Roman" w:eastAsia="宋体" w:cs="Times New Roman"/>
                      <w:b w:val="0"/>
                      <w:bCs w:val="0"/>
                      <w:color w:val="auto"/>
                      <w:kern w:val="0"/>
                      <w:sz w:val="21"/>
                      <w:szCs w:val="21"/>
                      <w:highlight w:val="none"/>
                      <w:lang w:val="en-US" w:eastAsia="zh-CN" w:bidi="ar-SA"/>
                    </w:rPr>
                    <w:t>阻隔</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6</w:t>
                  </w:r>
                  <w:r>
                    <w:rPr>
                      <w:rFonts w:hint="default" w:ascii="Times New Roman" w:hAnsi="Times New Roman" w:eastAsia="宋体" w:cs="Times New Roman"/>
                      <w:b w:val="0"/>
                      <w:bCs w:val="0"/>
                      <w:color w:val="auto"/>
                      <w:kern w:val="0"/>
                      <w:sz w:val="21"/>
                      <w:szCs w:val="21"/>
                      <w:highlight w:val="none"/>
                      <w:lang w:val="en-US" w:eastAsia="zh-CN" w:bidi="ar-SA"/>
                    </w:rPr>
                    <w:t>0</w:t>
                  </w: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lang w:val="en-US" w:eastAsia="zh-CN"/>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3</w:t>
                  </w:r>
                </w:p>
              </w:tc>
              <w:tc>
                <w:tcPr>
                  <w:tcW w:w="113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lang w:val="en-US" w:eastAsia="zh-CN"/>
                    </w:rPr>
                    <w:t>破碎筛分</w:t>
                  </w:r>
                  <w:r>
                    <w:rPr>
                      <w:rFonts w:hint="default" w:ascii="Times New Roman" w:hAnsi="Times New Roman" w:eastAsia="宋体" w:cs="Times New Roman"/>
                      <w:b w:val="0"/>
                      <w:bCs w:val="0"/>
                      <w:color w:val="auto"/>
                      <w:sz w:val="21"/>
                      <w:szCs w:val="21"/>
                      <w:highlight w:val="none"/>
                      <w:lang w:val="en-US" w:eastAsia="zh-CN"/>
                    </w:rPr>
                    <w:t>粉尘</w:t>
                  </w:r>
                </w:p>
              </w:tc>
              <w:tc>
                <w:tcPr>
                  <w:tcW w:w="890"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189</w:t>
                  </w:r>
                </w:p>
              </w:tc>
              <w:tc>
                <w:tcPr>
                  <w:tcW w:w="8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布袋除尘</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99</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ar-SA"/>
                    </w:rPr>
                    <w:t>0.0189</w:t>
                  </w:r>
                </w:p>
              </w:tc>
              <w:tc>
                <w:tcPr>
                  <w:tcW w:w="167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006</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890"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厂房阻隔</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99</w:t>
                  </w: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4</w:t>
                  </w:r>
                </w:p>
              </w:tc>
              <w:tc>
                <w:tcPr>
                  <w:tcW w:w="1131" w:type="dxa"/>
                  <w:vMerge w:val="restart"/>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堆场粉尘</w:t>
                  </w:r>
                </w:p>
              </w:tc>
              <w:tc>
                <w:tcPr>
                  <w:tcW w:w="890"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vMerge w:val="restart"/>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0.133</w:t>
                  </w:r>
                </w:p>
              </w:tc>
              <w:tc>
                <w:tcPr>
                  <w:tcW w:w="8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rPr>
                    <w:t>喷淋</w:t>
                  </w:r>
                </w:p>
              </w:tc>
              <w:tc>
                <w:tcPr>
                  <w:tcW w:w="17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80</w:t>
                  </w:r>
                </w:p>
              </w:tc>
              <w:tc>
                <w:tcPr>
                  <w:tcW w:w="13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0.027</w:t>
                  </w:r>
                </w:p>
              </w:tc>
              <w:tc>
                <w:tcPr>
                  <w:tcW w:w="16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0.00</w:t>
                  </w:r>
                  <w:r>
                    <w:rPr>
                      <w:rFonts w:hint="eastAsia" w:ascii="Times New Roman" w:hAnsi="Times New Roman" w:eastAsia="宋体" w:cs="Times New Roman"/>
                      <w:b w:val="0"/>
                      <w:bCs w:val="0"/>
                      <w:color w:val="auto"/>
                      <w:sz w:val="21"/>
                      <w:szCs w:val="21"/>
                      <w:highlight w:val="none"/>
                      <w:vertAlign w:val="baseline"/>
                      <w:lang w:val="en-US" w:eastAsia="zh-CN"/>
                    </w:rPr>
                    <w:t>9</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bidi="ar-SA"/>
                    </w:rPr>
                  </w:pPr>
                </w:p>
              </w:tc>
              <w:tc>
                <w:tcPr>
                  <w:tcW w:w="1131" w:type="dxa"/>
                  <w:vMerge w:val="continue"/>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8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396"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p>
              </w:tc>
              <w:tc>
                <w:tcPr>
                  <w:tcW w:w="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厂房阻隔</w:t>
                  </w:r>
                </w:p>
              </w:tc>
              <w:tc>
                <w:tcPr>
                  <w:tcW w:w="1729"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p>
              </w:tc>
              <w:tc>
                <w:tcPr>
                  <w:tcW w:w="13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p>
              </w:tc>
              <w:tc>
                <w:tcPr>
                  <w:tcW w:w="1670"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5</w:t>
                  </w:r>
                </w:p>
              </w:tc>
              <w:tc>
                <w:tcPr>
                  <w:tcW w:w="11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b w:val="0"/>
                      <w:bCs w:val="0"/>
                      <w:sz w:val="21"/>
                      <w:szCs w:val="21"/>
                    </w:rPr>
                    <w:t>传送带</w:t>
                  </w:r>
                  <w:r>
                    <w:rPr>
                      <w:b w:val="0"/>
                      <w:bCs w:val="0"/>
                      <w:sz w:val="21"/>
                      <w:szCs w:val="21"/>
                    </w:rPr>
                    <w:t>输送过程粉尘</w:t>
                  </w:r>
                </w:p>
              </w:tc>
              <w:tc>
                <w:tcPr>
                  <w:tcW w:w="89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0.215</w:t>
                  </w:r>
                </w:p>
              </w:tc>
              <w:tc>
                <w:tcPr>
                  <w:tcW w:w="8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防尘罩</w:t>
                  </w:r>
                </w:p>
              </w:tc>
              <w:tc>
                <w:tcPr>
                  <w:tcW w:w="1729"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SA"/>
                    </w:rPr>
                    <w:t>80</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0.002</w:t>
                  </w:r>
                </w:p>
              </w:tc>
              <w:tc>
                <w:tcPr>
                  <w:tcW w:w="167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0.0007</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rPr>
                    <w:t>6</w:t>
                  </w:r>
                </w:p>
              </w:tc>
              <w:tc>
                <w:tcPr>
                  <w:tcW w:w="1131" w:type="dxa"/>
                  <w:shd w:val="clear" w:color="auto" w:fill="auto"/>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lang w:val="en-US" w:eastAsia="zh-CN"/>
                    </w:rPr>
                    <w:t>堆场粉尘</w:t>
                  </w:r>
                </w:p>
              </w:tc>
              <w:tc>
                <w:tcPr>
                  <w:tcW w:w="890"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1396"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rPr>
                    <w:t>0.133</w:t>
                  </w:r>
                </w:p>
              </w:tc>
              <w:tc>
                <w:tcPr>
                  <w:tcW w:w="89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eastAsia="zh-CN"/>
                    </w:rPr>
                    <w:t>无组织</w:t>
                  </w:r>
                </w:p>
              </w:tc>
              <w:tc>
                <w:tcPr>
                  <w:tcW w:w="1702" w:type="dxa"/>
                  <w:shd w:val="clear" w:color="auto" w:fill="auto"/>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eastAsia="zh-CN"/>
                    </w:rPr>
                    <w:t>三面围挡</w:t>
                  </w:r>
                  <w:r>
                    <w:rPr>
                      <w:rFonts w:hint="default" w:ascii="Times New Roman" w:hAnsi="Times New Roman" w:cs="Times New Roman"/>
                      <w:b w:val="0"/>
                      <w:bCs w:val="0"/>
                      <w:color w:val="auto"/>
                      <w:kern w:val="0"/>
                      <w:sz w:val="21"/>
                      <w:szCs w:val="21"/>
                      <w:highlight w:val="none"/>
                      <w:lang w:val="en-US" w:eastAsia="zh-CN"/>
                    </w:rPr>
                    <w:t>+喷淋</w:t>
                  </w:r>
                </w:p>
              </w:tc>
              <w:tc>
                <w:tcPr>
                  <w:tcW w:w="17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80</w:t>
                  </w:r>
                </w:p>
              </w:tc>
              <w:tc>
                <w:tcPr>
                  <w:tcW w:w="13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0.027</w:t>
                  </w:r>
                </w:p>
              </w:tc>
              <w:tc>
                <w:tcPr>
                  <w:tcW w:w="16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0.00</w:t>
                  </w:r>
                  <w:r>
                    <w:rPr>
                      <w:rFonts w:hint="eastAsia" w:ascii="Times New Roman" w:hAnsi="Times New Roman" w:eastAsia="宋体" w:cs="Times New Roman"/>
                      <w:b w:val="0"/>
                      <w:bCs w:val="0"/>
                      <w:color w:val="auto"/>
                      <w:sz w:val="21"/>
                      <w:szCs w:val="21"/>
                      <w:highlight w:val="none"/>
                      <w:vertAlign w:val="baseline"/>
                      <w:lang w:val="en-US" w:eastAsia="zh-CN"/>
                    </w:rPr>
                    <w:t>9</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7</w:t>
                  </w:r>
                </w:p>
              </w:tc>
              <w:tc>
                <w:tcPr>
                  <w:tcW w:w="1131" w:type="dxa"/>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运输扬尘</w:t>
                  </w:r>
                </w:p>
              </w:tc>
              <w:tc>
                <w:tcPr>
                  <w:tcW w:w="89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颗粒物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0.146</w:t>
                  </w:r>
                </w:p>
              </w:tc>
              <w:tc>
                <w:tcPr>
                  <w:tcW w:w="8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eastAsia="zh-CN"/>
                    </w:rPr>
                  </w:pPr>
                  <w:r>
                    <w:rPr>
                      <w:rFonts w:hint="default" w:ascii="Times New Roman" w:hAnsi="Times New Roman" w:cs="Times New Roman"/>
                      <w:b w:val="0"/>
                      <w:bCs w:val="0"/>
                      <w:color w:val="auto"/>
                      <w:kern w:val="0"/>
                      <w:sz w:val="21"/>
                      <w:szCs w:val="21"/>
                      <w:highlight w:val="none"/>
                      <w:lang w:eastAsia="zh-CN"/>
                    </w:rPr>
                    <w:t>无组织</w:t>
                  </w:r>
                </w:p>
              </w:tc>
              <w:tc>
                <w:tcPr>
                  <w:tcW w:w="170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洒水降尘</w:t>
                  </w:r>
                </w:p>
              </w:tc>
              <w:tc>
                <w:tcPr>
                  <w:tcW w:w="17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74</w:t>
                  </w:r>
                </w:p>
              </w:tc>
              <w:tc>
                <w:tcPr>
                  <w:tcW w:w="13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0.023</w:t>
                  </w:r>
                </w:p>
              </w:tc>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0.008</w:t>
                  </w:r>
                </w:p>
              </w:tc>
              <w:tc>
                <w:tcPr>
                  <w:tcW w:w="3211" w:type="dxa"/>
                  <w:vMerge w:val="continue"/>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合计</w:t>
                  </w:r>
                </w:p>
              </w:tc>
              <w:tc>
                <w:tcPr>
                  <w:tcW w:w="7740" w:type="dxa"/>
                  <w:gridSpan w:val="6"/>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无组织颗粒物</w:t>
                  </w:r>
                </w:p>
              </w:tc>
              <w:tc>
                <w:tcPr>
                  <w:tcW w:w="139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0.1629</w:t>
                  </w:r>
                </w:p>
              </w:tc>
              <w:tc>
                <w:tcPr>
                  <w:tcW w:w="1670"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w:t>
                  </w:r>
                </w:p>
              </w:tc>
              <w:tc>
                <w:tcPr>
                  <w:tcW w:w="3211"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w:t>
                  </w:r>
                </w:p>
              </w:tc>
            </w:tr>
          </w:tbl>
          <w:p>
            <w:pPr>
              <w:pStyle w:val="72"/>
              <w:adjustRightInd w:val="0"/>
              <w:snapToGrid w:val="0"/>
              <w:spacing w:line="360" w:lineRule="auto"/>
              <w:ind w:left="0" w:leftChars="0" w:firstLine="0" w:firstLineChars="0"/>
              <w:rPr>
                <w:b/>
                <w:bCs/>
                <w:color w:val="auto"/>
                <w:highlight w:val="none"/>
                <w:vertAlign w:val="baseline"/>
              </w:rPr>
            </w:pPr>
          </w:p>
        </w:tc>
      </w:tr>
    </w:tbl>
    <w:p>
      <w:pPr>
        <w:adjustRightInd w:val="0"/>
        <w:snapToGrid w:val="0"/>
        <w:jc w:val="center"/>
        <w:rPr>
          <w:rFonts w:hint="default" w:ascii="Times New Roman" w:hAnsi="Times New Roman" w:eastAsia="宋体" w:cs="Times New Roman"/>
          <w:bCs/>
          <w:color w:val="auto"/>
          <w:sz w:val="24"/>
          <w:szCs w:val="24"/>
        </w:rPr>
        <w:sectPr>
          <w:pgSz w:w="16838" w:h="11906" w:orient="landscape"/>
          <w:pgMar w:top="1417" w:right="646" w:bottom="1417" w:left="646"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6"/>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620"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pStyle w:val="23"/>
              <w:adjustRightInd w:val="0"/>
              <w:snapToGrid w:val="0"/>
              <w:spacing w:before="0" w:beforeAutospacing="0" w:after="0" w:afterAutospacing="0"/>
              <w:jc w:val="center"/>
              <w:rPr>
                <w:rFonts w:hint="default" w:ascii="Times New Roman" w:hAnsi="Times New Roman" w:eastAsia="宋体" w:cs="Times New Roman"/>
                <w:color w:val="auto"/>
                <w:szCs w:val="24"/>
              </w:rPr>
            </w:pPr>
            <w:r>
              <w:rPr>
                <w:rFonts w:hint="default" w:ascii="Times New Roman" w:hAnsi="Times New Roman" w:eastAsia="宋体" w:cs="Times New Roman"/>
                <w:bCs/>
                <w:color w:val="auto"/>
                <w:sz w:val="24"/>
                <w:szCs w:val="24"/>
              </w:rPr>
              <w:t>措施</w:t>
            </w:r>
          </w:p>
        </w:tc>
        <w:tc>
          <w:tcPr>
            <w:tcW w:w="8748" w:type="dxa"/>
            <w:vAlign w:val="top"/>
          </w:tcPr>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pacing w:val="0"/>
                <w:kern w:val="21"/>
                <w:sz w:val="24"/>
                <w:highlight w:val="none"/>
              </w:rPr>
            </w:pPr>
            <w:r>
              <w:rPr>
                <w:rFonts w:hint="default" w:ascii="Times New Roman" w:hAnsi="Times New Roman" w:eastAsia="宋体" w:cs="Times New Roman"/>
                <w:b/>
                <w:color w:val="auto"/>
                <w:spacing w:val="0"/>
                <w:kern w:val="21"/>
                <w:sz w:val="24"/>
                <w:highlight w:val="none"/>
                <w:lang w:val="en-US" w:eastAsia="zh-CN"/>
              </w:rPr>
              <w:t>2、</w:t>
            </w:r>
            <w:r>
              <w:rPr>
                <w:rFonts w:hint="default" w:ascii="Times New Roman" w:hAnsi="Times New Roman" w:eastAsia="宋体" w:cs="Times New Roman"/>
                <w:b/>
                <w:color w:val="auto"/>
                <w:spacing w:val="0"/>
                <w:kern w:val="21"/>
                <w:sz w:val="24"/>
                <w:highlight w:val="none"/>
              </w:rPr>
              <w:t>主要污染工序及源强分析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pacing w:val="0"/>
                <w:kern w:val="21"/>
                <w:sz w:val="24"/>
                <w:szCs w:val="24"/>
                <w:highlight w:val="none"/>
                <w:lang w:val="zh-CN" w:eastAsia="zh-CN"/>
              </w:rPr>
            </w:pPr>
            <w:r>
              <w:rPr>
                <w:rFonts w:hint="default" w:ascii="Times New Roman" w:hAnsi="Times New Roman" w:cs="Times New Roman"/>
                <w:bCs/>
                <w:spacing w:val="0"/>
                <w:kern w:val="21"/>
                <w:sz w:val="24"/>
              </w:rPr>
              <w:t>本项目运营期废气主要涉及装卸扬尘、进料粉尘</w:t>
            </w:r>
            <w:r>
              <w:rPr>
                <w:rFonts w:hint="default" w:ascii="Times New Roman" w:hAnsi="Times New Roman" w:cs="Times New Roman"/>
                <w:bCs/>
                <w:spacing w:val="0"/>
                <w:kern w:val="21"/>
                <w:sz w:val="24"/>
                <w:lang w:eastAsia="zh-CN"/>
              </w:rPr>
              <w:t>、</w:t>
            </w:r>
            <w:r>
              <w:rPr>
                <w:rFonts w:hint="default" w:ascii="Times New Roman" w:hAnsi="Times New Roman" w:cs="Times New Roman"/>
                <w:bCs/>
                <w:spacing w:val="0"/>
                <w:kern w:val="21"/>
                <w:sz w:val="24"/>
              </w:rPr>
              <w:t>破碎筛分粉尘</w:t>
            </w:r>
            <w:r>
              <w:rPr>
                <w:rFonts w:hint="default" w:ascii="Times New Roman" w:hAnsi="Times New Roman" w:cs="Times New Roman"/>
                <w:bCs/>
                <w:spacing w:val="0"/>
                <w:kern w:val="21"/>
                <w:sz w:val="24"/>
                <w:lang w:eastAsia="zh-CN"/>
              </w:rPr>
              <w:t>、</w:t>
            </w:r>
            <w:r>
              <w:rPr>
                <w:rFonts w:hint="default" w:ascii="Times New Roman" w:hAnsi="Times New Roman" w:cs="Times New Roman"/>
                <w:bCs/>
                <w:spacing w:val="0"/>
                <w:kern w:val="21"/>
                <w:sz w:val="24"/>
              </w:rPr>
              <w:t>堆场扬尘、皮带输送过程粉尘、运输道路扬尘、运输车辆汽车尾气、厨房油烟。各类废气均呈无组织排放。</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val="0"/>
                <w:color w:val="auto"/>
                <w:spacing w:val="0"/>
                <w:kern w:val="21"/>
                <w:sz w:val="24"/>
                <w:highlight w:val="none"/>
                <w:lang w:val="en-US" w:eastAsia="zh-CN"/>
              </w:rPr>
            </w:pPr>
            <w:r>
              <w:rPr>
                <w:rFonts w:hint="default" w:ascii="Times New Roman" w:hAnsi="Times New Roman" w:eastAsia="宋体" w:cs="Times New Roman"/>
                <w:bCs/>
                <w:color w:val="auto"/>
                <w:spacing w:val="0"/>
                <w:kern w:val="21"/>
                <w:sz w:val="24"/>
                <w:highlight w:val="none"/>
                <w:lang w:val="en-US" w:eastAsia="zh-CN"/>
              </w:rPr>
              <w:t>①装卸粉尘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
                <w:spacing w:val="0"/>
                <w:kern w:val="21"/>
                <w:sz w:val="24"/>
              </w:rPr>
              <w:t>产生量</w:t>
            </w:r>
            <w:r>
              <w:rPr>
                <w:rFonts w:hint="default" w:ascii="Times New Roman" w:hAnsi="Times New Roman" w:cs="Times New Roman"/>
                <w:b/>
                <w:spacing w:val="0"/>
                <w:kern w:val="21"/>
                <w:sz w:val="24"/>
                <w:lang w:eastAsia="zh-CN"/>
              </w:rPr>
              <w:t>：</w:t>
            </w:r>
            <w:r>
              <w:rPr>
                <w:rFonts w:hint="default" w:ascii="Times New Roman" w:hAnsi="Times New Roman" w:cs="Times New Roman"/>
                <w:bCs/>
                <w:spacing w:val="0"/>
                <w:kern w:val="21"/>
                <w:sz w:val="24"/>
              </w:rPr>
              <w:t>项目运营期原料以及成品在装卸过程中有少量扬尘产生。根据《固体物料堆存颗粒物产排污核算系数手册》，本次评价装卸扬尘按照如下公式计算：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vertAlign w:val="superscript"/>
              </w:rPr>
            </w:pPr>
            <w:r>
              <w:rPr>
                <w:rFonts w:hint="default" w:ascii="Times New Roman" w:hAnsi="Times New Roman" w:cs="Times New Roman"/>
                <w:bCs/>
                <w:spacing w:val="0"/>
                <w:kern w:val="21"/>
                <w:sz w:val="24"/>
              </w:rPr>
              <w:t>P=N</w:t>
            </w:r>
            <w:r>
              <w:rPr>
                <w:rFonts w:hint="default" w:ascii="Times New Roman" w:hAnsi="Times New Roman" w:cs="Times New Roman"/>
                <w:bCs/>
                <w:spacing w:val="0"/>
                <w:kern w:val="21"/>
                <w:sz w:val="24"/>
                <w:vertAlign w:val="subscript"/>
              </w:rPr>
              <w:t>C</w:t>
            </w:r>
            <w:r>
              <w:rPr>
                <w:rFonts w:hint="default" w:ascii="Times New Roman" w:hAnsi="Times New Roman" w:cs="Times New Roman"/>
                <w:bCs/>
                <w:spacing w:val="0"/>
                <w:kern w:val="21"/>
                <w:sz w:val="24"/>
              </w:rPr>
              <w:t>×D×（a/b）×10</w:t>
            </w:r>
            <w:r>
              <w:rPr>
                <w:rFonts w:hint="default" w:ascii="Times New Roman" w:hAnsi="Times New Roman" w:cs="Times New Roman"/>
                <w:bCs/>
                <w:spacing w:val="0"/>
                <w:kern w:val="21"/>
                <w:sz w:val="24"/>
                <w:vertAlign w:val="superscript"/>
              </w:rPr>
              <w:t>-3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P----装卸扬尘产生量，t；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N</w:t>
            </w:r>
            <w:r>
              <w:rPr>
                <w:rFonts w:hint="default" w:ascii="Times New Roman" w:hAnsi="Times New Roman" w:cs="Times New Roman"/>
                <w:bCs/>
                <w:spacing w:val="0"/>
                <w:kern w:val="21"/>
                <w:sz w:val="24"/>
                <w:vertAlign w:val="subscript"/>
              </w:rPr>
              <w:t>C</w:t>
            </w:r>
            <w:r>
              <w:rPr>
                <w:rFonts w:hint="default" w:ascii="Times New Roman" w:hAnsi="Times New Roman" w:cs="Times New Roman"/>
                <w:bCs/>
                <w:spacing w:val="0"/>
                <w:kern w:val="21"/>
                <w:sz w:val="24"/>
              </w:rPr>
              <w:t>----指年物料运载车次，车，项目装车约</w:t>
            </w:r>
            <w:r>
              <w:rPr>
                <w:rFonts w:hint="default" w:ascii="Times New Roman" w:hAnsi="Times New Roman" w:cs="Times New Roman"/>
                <w:bCs/>
                <w:spacing w:val="0"/>
                <w:kern w:val="21"/>
                <w:sz w:val="24"/>
                <w:lang w:val="en-US" w:eastAsia="zh-CN"/>
              </w:rPr>
              <w:t>21</w:t>
            </w:r>
            <w:r>
              <w:rPr>
                <w:rFonts w:hint="default" w:ascii="Times New Roman" w:hAnsi="Times New Roman" w:cs="Times New Roman"/>
                <w:bCs/>
                <w:spacing w:val="0"/>
                <w:kern w:val="21"/>
                <w:sz w:val="24"/>
              </w:rPr>
              <w:t>000车次/年；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D----指单车平均运载量，吨/车，10t/车；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a/b----指装卸扬尘概化系数，千克/吨，0.1</w:t>
            </w:r>
            <w:r>
              <w:rPr>
                <w:rFonts w:hint="default" w:ascii="Times New Roman" w:hAnsi="Times New Roman" w:cs="Times New Roman"/>
                <w:bCs/>
                <w:spacing w:val="0"/>
                <w:kern w:val="21"/>
                <w:sz w:val="24"/>
                <w:lang w:val="en-US" w:eastAsia="zh-CN"/>
              </w:rPr>
              <w:t>07</w:t>
            </w:r>
            <w:r>
              <w:rPr>
                <w:rFonts w:hint="default" w:ascii="Times New Roman" w:hAnsi="Times New Roman" w:cs="Times New Roman"/>
                <w:bCs/>
                <w:spacing w:val="0"/>
                <w:kern w:val="21"/>
                <w:sz w:val="24"/>
              </w:rPr>
              <w:t>）；a指各省风速概化系数，项目位于云南省，a取0.0009；b指物料含水率概化系数，本项目原料为</w:t>
            </w:r>
            <w:r>
              <w:rPr>
                <w:rFonts w:hint="default" w:ascii="Times New Roman" w:hAnsi="Times New Roman" w:cs="Times New Roman"/>
                <w:bCs/>
                <w:spacing w:val="0"/>
                <w:kern w:val="21"/>
                <w:sz w:val="24"/>
                <w:lang w:val="en-US" w:eastAsia="zh-CN"/>
              </w:rPr>
              <w:t>洞渣，含水率较高取混合矿石</w:t>
            </w:r>
            <w:r>
              <w:rPr>
                <w:rFonts w:hint="default" w:ascii="Times New Roman" w:hAnsi="Times New Roman" w:cs="Times New Roman"/>
                <w:bCs/>
                <w:spacing w:val="0"/>
                <w:kern w:val="21"/>
                <w:sz w:val="24"/>
              </w:rPr>
              <w:t>，b取0.00</w:t>
            </w:r>
            <w:r>
              <w:rPr>
                <w:rFonts w:hint="default" w:ascii="Times New Roman" w:hAnsi="Times New Roman" w:cs="Times New Roman"/>
                <w:bCs/>
                <w:spacing w:val="0"/>
                <w:kern w:val="21"/>
                <w:sz w:val="24"/>
                <w:lang w:val="en-US" w:eastAsia="zh-CN"/>
              </w:rPr>
              <w:t>8</w:t>
            </w:r>
            <w:r>
              <w:rPr>
                <w:rFonts w:hint="default" w:ascii="Times New Roman" w:hAnsi="Times New Roman" w:cs="Times New Roman"/>
                <w:bCs/>
                <w:spacing w:val="0"/>
                <w:kern w:val="21"/>
                <w:sz w:val="24"/>
              </w:rPr>
              <w:t>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pacing w:val="0"/>
                <w:kern w:val="21"/>
                <w:sz w:val="24"/>
              </w:rPr>
            </w:pPr>
            <w:r>
              <w:rPr>
                <w:rFonts w:hint="default" w:ascii="Times New Roman" w:hAnsi="Times New Roman" w:cs="Times New Roman"/>
                <w:bCs/>
                <w:spacing w:val="0"/>
                <w:kern w:val="21"/>
                <w:sz w:val="24"/>
              </w:rPr>
              <w:t>按照上述公式，经计算，本项目装卸扬尘产生量为</w:t>
            </w:r>
            <w:r>
              <w:rPr>
                <w:rFonts w:hint="default" w:ascii="Times New Roman" w:hAnsi="Times New Roman" w:cs="Times New Roman"/>
                <w:bCs/>
                <w:spacing w:val="0"/>
                <w:kern w:val="21"/>
                <w:sz w:val="24"/>
                <w:lang w:val="en-US" w:eastAsia="zh-CN"/>
              </w:rPr>
              <w:t>9.363</w:t>
            </w:r>
            <w:r>
              <w:rPr>
                <w:rFonts w:hint="default" w:ascii="Times New Roman" w:hAnsi="Times New Roman" w:cs="Times New Roman"/>
                <w:bCs/>
                <w:spacing w:val="0"/>
                <w:kern w:val="21"/>
                <w:sz w:val="24"/>
              </w:rPr>
              <w:t>kg/h，</w:t>
            </w:r>
            <w:r>
              <w:rPr>
                <w:rFonts w:hint="default" w:ascii="Times New Roman" w:hAnsi="Times New Roman" w:cs="Times New Roman"/>
                <w:bCs/>
                <w:spacing w:val="0"/>
                <w:kern w:val="21"/>
                <w:sz w:val="24"/>
                <w:lang w:val="en-US" w:eastAsia="zh-CN"/>
              </w:rPr>
              <w:t>22.47</w:t>
            </w:r>
            <w:r>
              <w:rPr>
                <w:rFonts w:hint="default" w:ascii="Times New Roman" w:hAnsi="Times New Roman" w:cs="Times New Roman"/>
                <w:bCs/>
                <w:spacing w:val="0"/>
                <w:kern w:val="21"/>
                <w:sz w:val="24"/>
              </w:rPr>
              <w:t>t/a。</w:t>
            </w:r>
          </w:p>
          <w:p>
            <w:pPr>
              <w:pStyle w:val="90"/>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val="0"/>
                <w:color w:val="auto"/>
                <w:spacing w:val="0"/>
                <w:kern w:val="21"/>
                <w:sz w:val="24"/>
                <w:highlight w:val="none"/>
                <w:lang w:val="en-US" w:eastAsia="zh-CN"/>
              </w:rPr>
            </w:pPr>
            <w:r>
              <w:rPr>
                <w:rFonts w:hint="default" w:ascii="Times New Roman" w:hAnsi="Times New Roman" w:cs="Times New Roman"/>
                <w:b/>
                <w:bCs/>
                <w:spacing w:val="0"/>
                <w:kern w:val="21"/>
                <w:sz w:val="24"/>
              </w:rPr>
              <w:t>排放量</w:t>
            </w:r>
            <w:r>
              <w:rPr>
                <w:rFonts w:hint="default" w:ascii="Times New Roman" w:hAnsi="Times New Roman" w:cs="Times New Roman"/>
                <w:b/>
                <w:bCs/>
                <w:spacing w:val="0"/>
                <w:kern w:val="21"/>
                <w:sz w:val="24"/>
                <w:lang w:eastAsia="zh-CN"/>
              </w:rPr>
              <w:t>：</w:t>
            </w:r>
            <w:r>
              <w:rPr>
                <w:rFonts w:hint="default" w:ascii="Times New Roman" w:hAnsi="Times New Roman" w:cs="Times New Roman"/>
                <w:spacing w:val="0"/>
                <w:kern w:val="21"/>
                <w:sz w:val="24"/>
              </w:rPr>
              <w:t>原料仓库、成品仓库设置顶棚、</w:t>
            </w:r>
            <w:r>
              <w:rPr>
                <w:rFonts w:hint="default" w:ascii="Times New Roman" w:hAnsi="Times New Roman" w:cs="Times New Roman"/>
                <w:spacing w:val="0"/>
                <w:kern w:val="21"/>
                <w:sz w:val="24"/>
                <w:lang w:val="en-US" w:eastAsia="zh-CN"/>
              </w:rPr>
              <w:t>四</w:t>
            </w:r>
            <w:r>
              <w:rPr>
                <w:rFonts w:hint="default" w:ascii="Times New Roman" w:hAnsi="Times New Roman" w:cs="Times New Roman"/>
                <w:spacing w:val="0"/>
                <w:kern w:val="21"/>
                <w:sz w:val="24"/>
              </w:rPr>
              <w:t>面围挡，物料装卸时利用高压喷雾装置进行降尘。根据《固体物料堆存颗粒物产排污核算系数手册》洒水控制措施控制效率为74%</w:t>
            </w:r>
            <w:r>
              <w:rPr>
                <w:rFonts w:hint="default" w:ascii="Times New Roman" w:hAnsi="Times New Roman" w:cs="Times New Roman"/>
                <w:spacing w:val="0"/>
                <w:kern w:val="21"/>
                <w:sz w:val="24"/>
                <w:lang w:eastAsia="zh-CN"/>
              </w:rPr>
              <w:t>，</w:t>
            </w:r>
            <w:r>
              <w:rPr>
                <w:rFonts w:hint="default" w:ascii="Times New Roman" w:hAnsi="Times New Roman" w:cs="Times New Roman"/>
                <w:spacing w:val="0"/>
                <w:kern w:val="21"/>
                <w:sz w:val="24"/>
                <w:lang w:val="en-US" w:eastAsia="zh-CN"/>
              </w:rPr>
              <w:t>密闭式</w:t>
            </w:r>
            <w:r>
              <w:rPr>
                <w:rFonts w:hint="default" w:ascii="Times New Roman" w:hAnsi="Times New Roman" w:cs="Times New Roman"/>
                <w:spacing w:val="0"/>
                <w:kern w:val="21"/>
                <w:sz w:val="24"/>
              </w:rPr>
              <w:t>厂房粉尘控制效率为</w:t>
            </w:r>
            <w:r>
              <w:rPr>
                <w:rFonts w:hint="default" w:ascii="Times New Roman" w:hAnsi="Times New Roman" w:cs="Times New Roman"/>
                <w:spacing w:val="0"/>
                <w:kern w:val="21"/>
                <w:sz w:val="24"/>
                <w:lang w:val="en-US" w:eastAsia="zh-CN"/>
              </w:rPr>
              <w:t>99</w:t>
            </w:r>
            <w:r>
              <w:rPr>
                <w:rFonts w:hint="default" w:ascii="Times New Roman" w:hAnsi="Times New Roman" w:cs="Times New Roman"/>
                <w:spacing w:val="0"/>
                <w:kern w:val="21"/>
                <w:sz w:val="24"/>
              </w:rPr>
              <w:t>%，故本项目装卸扬尘排放量为0.</w:t>
            </w:r>
            <w:r>
              <w:rPr>
                <w:rFonts w:hint="default" w:ascii="Times New Roman" w:hAnsi="Times New Roman" w:cs="Times New Roman"/>
                <w:spacing w:val="0"/>
                <w:kern w:val="21"/>
                <w:sz w:val="24"/>
                <w:lang w:val="en-US" w:eastAsia="zh-CN"/>
              </w:rPr>
              <w:t>019</w:t>
            </w:r>
            <w:r>
              <w:rPr>
                <w:rFonts w:hint="default" w:ascii="Times New Roman" w:hAnsi="Times New Roman" w:cs="Times New Roman"/>
                <w:spacing w:val="0"/>
                <w:kern w:val="21"/>
                <w:sz w:val="24"/>
              </w:rPr>
              <w:t>kg/h，0.</w:t>
            </w:r>
            <w:r>
              <w:rPr>
                <w:rFonts w:hint="default" w:ascii="Times New Roman" w:hAnsi="Times New Roman" w:cs="Times New Roman"/>
                <w:spacing w:val="0"/>
                <w:kern w:val="21"/>
                <w:sz w:val="24"/>
                <w:lang w:val="en-US" w:eastAsia="zh-CN"/>
              </w:rPr>
              <w:t>058</w:t>
            </w:r>
            <w:r>
              <w:rPr>
                <w:rFonts w:hint="default" w:ascii="Times New Roman" w:hAnsi="Times New Roman" w:cs="Times New Roman"/>
                <w:spacing w:val="0"/>
                <w:kern w:val="21"/>
                <w:sz w:val="24"/>
              </w:rPr>
              <w:t>t/a。</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②进料粉尘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根据《逸散性工业粉尘控制技术》，</w:t>
            </w:r>
            <w:r>
              <w:rPr>
                <w:rFonts w:hint="default" w:ascii="Times New Roman" w:hAnsi="Times New Roman" w:eastAsia="宋体" w:cs="Times New Roman"/>
                <w:color w:val="auto"/>
                <w:sz w:val="24"/>
                <w:highlight w:val="none"/>
                <w:lang w:eastAsia="zh-CN"/>
              </w:rPr>
              <w:t>送料上进料斗</w:t>
            </w:r>
            <w:r>
              <w:rPr>
                <w:rFonts w:hint="default" w:ascii="Times New Roman" w:hAnsi="Times New Roman" w:eastAsia="宋体" w:cs="Times New Roman"/>
                <w:color w:val="auto"/>
                <w:sz w:val="24"/>
                <w:highlight w:val="none"/>
              </w:rPr>
              <w:t>粉尘产生系数为0.00</w:t>
            </w:r>
            <w:r>
              <w:rPr>
                <w:rFonts w:hint="default" w:ascii="Times New Roman" w:hAnsi="Times New Roman" w:eastAsia="宋体" w:cs="Times New Roman"/>
                <w:color w:val="auto"/>
                <w:sz w:val="24"/>
                <w:highlight w:val="none"/>
                <w:lang w:val="en-US" w:eastAsia="zh-CN"/>
              </w:rPr>
              <w:t>06</w:t>
            </w:r>
            <w:r>
              <w:rPr>
                <w:rFonts w:hint="default" w:ascii="Times New Roman" w:hAnsi="Times New Roman" w:eastAsia="宋体" w:cs="Times New Roman"/>
                <w:color w:val="auto"/>
                <w:sz w:val="24"/>
                <w:highlight w:val="none"/>
              </w:rPr>
              <w:t>kg/t-</w:t>
            </w:r>
            <w:r>
              <w:rPr>
                <w:rFonts w:hint="default" w:ascii="Times New Roman" w:hAnsi="Times New Roman" w:eastAsia="宋体" w:cs="Times New Roman"/>
                <w:color w:val="auto"/>
                <w:sz w:val="24"/>
                <w:highlight w:val="none"/>
                <w:lang w:eastAsia="zh-CN"/>
              </w:rPr>
              <w:t>进</w:t>
            </w:r>
            <w:r>
              <w:rPr>
                <w:rFonts w:hint="default" w:ascii="Times New Roman" w:hAnsi="Times New Roman" w:eastAsia="宋体" w:cs="Times New Roman"/>
                <w:color w:val="auto"/>
                <w:sz w:val="24"/>
                <w:highlight w:val="none"/>
              </w:rPr>
              <w:t>料</w:t>
            </w:r>
            <w:r>
              <w:rPr>
                <w:rFonts w:hint="default" w:ascii="Times New Roman" w:hAnsi="Times New Roman" w:eastAsia="宋体" w:cs="Times New Roman"/>
                <w:color w:val="auto"/>
                <w:sz w:val="24"/>
                <w:highlight w:val="none"/>
                <w:lang w:val="en-US" w:eastAsia="zh-CN"/>
              </w:rPr>
              <w:t>（砂和砾石）</w:t>
            </w: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进料口投料</w:t>
            </w:r>
            <w:r>
              <w:rPr>
                <w:rFonts w:hint="default" w:ascii="Times New Roman" w:hAnsi="Times New Roman" w:eastAsia="宋体" w:cs="Times New Roman"/>
                <w:color w:val="auto"/>
                <w:sz w:val="24"/>
                <w:highlight w:val="none"/>
              </w:rPr>
              <w:t>量为</w:t>
            </w:r>
            <w:r>
              <w:rPr>
                <w:rFonts w:hint="default" w:ascii="Times New Roman" w:hAnsi="Times New Roman" w:eastAsia="宋体" w:cs="Times New Roman"/>
                <w:color w:val="auto"/>
                <w:sz w:val="24"/>
                <w:highlight w:val="none"/>
                <w:lang w:val="en-US" w:eastAsia="zh-CN"/>
              </w:rPr>
              <w:t>110000</w:t>
            </w:r>
            <w:r>
              <w:rPr>
                <w:rFonts w:hint="default" w:ascii="Times New Roman" w:hAnsi="Times New Roman" w:eastAsia="宋体" w:cs="Times New Roman"/>
                <w:color w:val="auto"/>
                <w:sz w:val="24"/>
                <w:highlight w:val="none"/>
              </w:rPr>
              <w:t>t/a，经计算项目给料口粉尘量为</w:t>
            </w:r>
            <w:r>
              <w:rPr>
                <w:rFonts w:hint="default" w:ascii="Times New Roman" w:hAnsi="Times New Roman" w:eastAsia="宋体" w:cs="Times New Roman"/>
                <w:color w:val="auto"/>
                <w:sz w:val="24"/>
                <w:highlight w:val="none"/>
                <w:lang w:val="en-US" w:eastAsia="zh-CN"/>
              </w:rPr>
              <w:t>0.066</w:t>
            </w:r>
            <w:r>
              <w:rPr>
                <w:rFonts w:hint="default" w:ascii="Times New Roman" w:hAnsi="Times New Roman" w:eastAsia="宋体" w:cs="Times New Roman"/>
                <w:color w:val="auto"/>
                <w:sz w:val="24"/>
                <w:highlight w:val="none"/>
              </w:rPr>
              <w:t>t/a，产生速率为</w:t>
            </w:r>
            <w:r>
              <w:rPr>
                <w:rFonts w:hint="default" w:ascii="Times New Roman" w:hAnsi="Times New Roman" w:eastAsia="宋体" w:cs="Times New Roman"/>
                <w:color w:val="auto"/>
                <w:sz w:val="24"/>
                <w:highlight w:val="none"/>
                <w:lang w:val="en-US" w:eastAsia="zh-CN"/>
              </w:rPr>
              <w:t>0.022</w:t>
            </w:r>
            <w:r>
              <w:rPr>
                <w:rFonts w:hint="default" w:ascii="Times New Roman" w:hAnsi="Times New Roman" w:eastAsia="宋体" w:cs="Times New Roman"/>
                <w:color w:val="auto"/>
                <w:sz w:val="24"/>
                <w:highlight w:val="none"/>
              </w:rPr>
              <w:t>kg/h。</w:t>
            </w:r>
            <w:r>
              <w:rPr>
                <w:rFonts w:hint="default" w:ascii="Times New Roman" w:hAnsi="Times New Roman" w:cs="Times New Roman"/>
                <w:sz w:val="24"/>
              </w:rPr>
              <w:t>根据《排放源统计调查产排污核算方法和系数手册》（公告2021年第24号）中附表2中半敞开式厂房粉尘控制效率为60%，洒水控制措施控制效率为74%</w:t>
            </w:r>
            <w:r>
              <w:rPr>
                <w:rFonts w:hint="default" w:ascii="Times New Roman" w:hAnsi="Times New Roman" w:eastAsia="宋体" w:cs="Times New Roman"/>
                <w:color w:val="auto"/>
                <w:sz w:val="24"/>
                <w:highlight w:val="none"/>
                <w:lang w:eastAsia="zh-CN"/>
              </w:rPr>
              <w:t>，因此</w:t>
            </w:r>
            <w:r>
              <w:rPr>
                <w:rFonts w:hint="default" w:ascii="Times New Roman" w:hAnsi="Times New Roman" w:eastAsia="宋体" w:cs="Times New Roman"/>
                <w:color w:val="auto"/>
                <w:sz w:val="24"/>
                <w:highlight w:val="none"/>
              </w:rPr>
              <w:t>给料口粉尘排放量为</w:t>
            </w:r>
            <w:r>
              <w:rPr>
                <w:rFonts w:hint="default" w:ascii="Times New Roman" w:hAnsi="Times New Roman" w:eastAsia="宋体" w:cs="Times New Roman"/>
                <w:color w:val="auto"/>
                <w:sz w:val="24"/>
                <w:highlight w:val="none"/>
                <w:lang w:val="en-US" w:eastAsia="zh-CN"/>
              </w:rPr>
              <w:t>0.007</w:t>
            </w:r>
            <w:r>
              <w:rPr>
                <w:rFonts w:hint="default" w:ascii="Times New Roman" w:hAnsi="Times New Roman" w:eastAsia="宋体" w:cs="Times New Roman"/>
                <w:color w:val="auto"/>
                <w:sz w:val="24"/>
                <w:highlight w:val="none"/>
              </w:rPr>
              <w:t>t/a，排放速率为0.</w:t>
            </w:r>
            <w:r>
              <w:rPr>
                <w:rFonts w:hint="default" w:ascii="Times New Roman" w:hAnsi="Times New Roman" w:eastAsia="宋体" w:cs="Times New Roman"/>
                <w:color w:val="auto"/>
                <w:sz w:val="24"/>
                <w:highlight w:val="none"/>
                <w:lang w:val="en-US" w:eastAsia="zh-CN"/>
              </w:rPr>
              <w:t>002</w:t>
            </w:r>
            <w:r>
              <w:rPr>
                <w:rFonts w:hint="default" w:ascii="Times New Roman" w:hAnsi="Times New Roman" w:eastAsia="宋体" w:cs="Times New Roman"/>
                <w:color w:val="auto"/>
                <w:sz w:val="24"/>
                <w:highlight w:val="none"/>
              </w:rPr>
              <w:t>kg/h。</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③破碎筛分粉尘</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根据《排放源统计调查产排污核算方法和系数手册》（公告2021年第24号）中“</w:t>
            </w:r>
            <w:r>
              <w:rPr>
                <w:rFonts w:hint="default" w:ascii="Times New Roman" w:hAnsi="Times New Roman" w:eastAsia="宋体" w:cs="Times New Roman"/>
                <w:sz w:val="24"/>
                <w:szCs w:val="24"/>
              </w:rPr>
              <w:t>303砖瓦、石材等建筑材料制造行业系数手册</w:t>
            </w:r>
            <w:r>
              <w:rPr>
                <w:rFonts w:hint="default" w:ascii="Times New Roman" w:hAnsi="Times New Roman" w:cs="Times New Roman"/>
                <w:sz w:val="24"/>
              </w:rPr>
              <w:t>”中</w:t>
            </w:r>
            <w:r>
              <w:rPr>
                <w:rFonts w:hint="default" w:ascii="Times New Roman" w:hAnsi="Times New Roman" w:eastAsia="宋体" w:cs="Times New Roman"/>
                <w:sz w:val="24"/>
                <w:szCs w:val="24"/>
              </w:rPr>
              <w:t>3039其他建筑材料制造行业</w:t>
            </w:r>
            <w:r>
              <w:rPr>
                <w:rFonts w:hint="default" w:ascii="Times New Roman" w:hAnsi="Times New Roman" w:eastAsia="宋体" w:cs="Times New Roman"/>
                <w:sz w:val="24"/>
                <w:lang w:val="en-US" w:eastAsia="zh-CN"/>
              </w:rPr>
              <w:t>砂石骨料</w:t>
            </w:r>
            <w:r>
              <w:rPr>
                <w:rFonts w:hint="default" w:ascii="Times New Roman" w:hAnsi="Times New Roman" w:cs="Times New Roman"/>
                <w:sz w:val="24"/>
              </w:rPr>
              <w:t>破碎筛分产污系数，计算本项目破碎筛分工段产生的污染源强，产排污系数见下表4-</w:t>
            </w:r>
            <w:r>
              <w:rPr>
                <w:rFonts w:hint="eastAsia" w:ascii="Times New Roman" w:hAnsi="Times New Roman" w:cs="Times New Roman"/>
                <w:sz w:val="24"/>
                <w:lang w:val="en-US" w:eastAsia="zh-CN"/>
              </w:rPr>
              <w:t>2</w:t>
            </w:r>
            <w:r>
              <w:rPr>
                <w:rFonts w:hint="default" w:ascii="Times New Roman" w:hAnsi="Times New Roman" w:cs="Times New Roman"/>
                <w:sz w:val="24"/>
              </w:rPr>
              <w:t>。</w:t>
            </w:r>
          </w:p>
          <w:p>
            <w:pPr>
              <w:pStyle w:val="91"/>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表4-</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破碎筛分产污系数</w:t>
            </w:r>
          </w:p>
          <w:tbl>
            <w:tblPr>
              <w:tblStyle w:val="26"/>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75"/>
              <w:gridCol w:w="1050"/>
              <w:gridCol w:w="887"/>
              <w:gridCol w:w="1175"/>
              <w:gridCol w:w="913"/>
              <w:gridCol w:w="700"/>
              <w:gridCol w:w="91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52"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产品名称</w:t>
                  </w:r>
                </w:p>
              </w:tc>
              <w:tc>
                <w:tcPr>
                  <w:tcW w:w="97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原料名称</w:t>
                  </w:r>
                </w:p>
              </w:tc>
              <w:tc>
                <w:tcPr>
                  <w:tcW w:w="1050"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工艺名称</w:t>
                  </w:r>
                </w:p>
              </w:tc>
              <w:tc>
                <w:tcPr>
                  <w:tcW w:w="887"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规模等级</w:t>
                  </w:r>
                </w:p>
              </w:tc>
              <w:tc>
                <w:tcPr>
                  <w:tcW w:w="1175"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污染物指标</w:t>
                  </w:r>
                </w:p>
              </w:tc>
              <w:tc>
                <w:tcPr>
                  <w:tcW w:w="913"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单位</w:t>
                  </w:r>
                </w:p>
              </w:tc>
              <w:tc>
                <w:tcPr>
                  <w:tcW w:w="700"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产污系数</w:t>
                  </w:r>
                </w:p>
              </w:tc>
              <w:tc>
                <w:tcPr>
                  <w:tcW w:w="912" w:type="dxa"/>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末端治理技术名称</w:t>
                  </w:r>
                </w:p>
              </w:tc>
              <w:tc>
                <w:tcPr>
                  <w:tcW w:w="951" w:type="dxa"/>
                  <w:vAlign w:val="center"/>
                </w:tcPr>
                <w:p>
                  <w:pPr>
                    <w:adjustRightInd w:val="0"/>
                    <w:snapToGrid w:val="0"/>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rPr>
                    <w:t>末端治理技术</w:t>
                  </w:r>
                  <w:r>
                    <w:rPr>
                      <w:rFonts w:hint="default" w:ascii="Times New Roman" w:hAnsi="Times New Roman" w:cs="Times New Roman"/>
                      <w:b/>
                      <w:bCs/>
                      <w:sz w:val="21"/>
                      <w:szCs w:val="21"/>
                      <w:lang w:val="en-US" w:eastAsia="zh-CN"/>
                    </w:rPr>
                    <w:t>平均去除%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852"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val="en-US" w:eastAsia="zh-CN"/>
                    </w:rPr>
                    <w:t>砂石骨料</w:t>
                  </w:r>
                </w:p>
              </w:tc>
              <w:tc>
                <w:tcPr>
                  <w:tcW w:w="975" w:type="dxa"/>
                  <w:vAlign w:val="center"/>
                </w:tcPr>
                <w:p>
                  <w:pPr>
                    <w:adjustRightInd w:val="0"/>
                    <w:snapToGrid w:val="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岩石矿石、建筑固体废弃物、尾矿</w:t>
                  </w:r>
                  <w:r>
                    <w:rPr>
                      <w:rFonts w:hint="default" w:ascii="Times New Roman" w:hAnsi="Times New Roman" w:cs="Times New Roman"/>
                      <w:sz w:val="21"/>
                      <w:szCs w:val="21"/>
                      <w:lang w:val="en-US" w:eastAsia="zh-CN"/>
                    </w:rPr>
                    <w:t>等</w:t>
                  </w:r>
                </w:p>
              </w:tc>
              <w:tc>
                <w:tcPr>
                  <w:tcW w:w="1050"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破碎</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筛分</w:t>
                  </w:r>
                </w:p>
              </w:tc>
              <w:tc>
                <w:tcPr>
                  <w:tcW w:w="887"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所有</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规模</w:t>
                  </w:r>
                </w:p>
              </w:tc>
              <w:tc>
                <w:tcPr>
                  <w:tcW w:w="1175"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913" w:type="dxa"/>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千克/吨-产品</w:t>
                  </w:r>
                </w:p>
              </w:tc>
              <w:tc>
                <w:tcPr>
                  <w:tcW w:w="700"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1.89</w:t>
                  </w:r>
                </w:p>
              </w:tc>
              <w:tc>
                <w:tcPr>
                  <w:tcW w:w="912" w:type="dxa"/>
                  <w:vAlign w:val="center"/>
                </w:tcPr>
                <w:p>
                  <w:pPr>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袋式除尘</w:t>
                  </w:r>
                </w:p>
              </w:tc>
              <w:tc>
                <w:tcPr>
                  <w:tcW w:w="951" w:type="dxa"/>
                  <w:vAlign w:val="center"/>
                </w:tcPr>
                <w:p>
                  <w:pPr>
                    <w:adjustRightInd w:val="0"/>
                    <w:snapToGrid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99</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sz w:val="24"/>
              </w:rPr>
              <w:t>本项目原料为</w:t>
            </w:r>
            <w:r>
              <w:rPr>
                <w:rFonts w:hint="default" w:ascii="Times New Roman" w:hAnsi="Times New Roman" w:cs="Times New Roman"/>
                <w:sz w:val="24"/>
                <w:lang w:val="en-US" w:eastAsia="zh-CN"/>
              </w:rPr>
              <w:t>洞渣</w:t>
            </w:r>
            <w:r>
              <w:rPr>
                <w:rFonts w:hint="default" w:ascii="Times New Roman" w:hAnsi="Times New Roman" w:cs="Times New Roman"/>
                <w:sz w:val="24"/>
              </w:rPr>
              <w:t>，待项目建成投入运营可年</w:t>
            </w:r>
            <w:r>
              <w:rPr>
                <w:rFonts w:hint="default" w:ascii="Times New Roman" w:hAnsi="Times New Roman" w:cs="Times New Roman"/>
                <w:sz w:val="24"/>
                <w:lang w:val="en-US" w:eastAsia="zh-CN"/>
              </w:rPr>
              <w:t>产砂石料10</w:t>
            </w:r>
            <w:r>
              <w:rPr>
                <w:rFonts w:hint="default" w:ascii="Times New Roman" w:hAnsi="Times New Roman" w:cs="Times New Roman"/>
                <w:sz w:val="24"/>
              </w:rPr>
              <w:t>0000</w:t>
            </w:r>
            <w:r>
              <w:rPr>
                <w:rFonts w:hint="default" w:ascii="Times New Roman" w:hAnsi="Times New Roman" w:cs="Times New Roman"/>
                <w:bCs/>
                <w:spacing w:val="-10"/>
                <w:sz w:val="24"/>
              </w:rPr>
              <w:t>t</w:t>
            </w:r>
            <w:r>
              <w:rPr>
                <w:rFonts w:hint="default" w:ascii="Times New Roman" w:hAnsi="Times New Roman" w:cs="Times New Roman"/>
                <w:sz w:val="24"/>
              </w:rPr>
              <w:t>，运营期按照年生产</w:t>
            </w:r>
            <w:r>
              <w:rPr>
                <w:rFonts w:hint="default" w:ascii="Times New Roman" w:hAnsi="Times New Roman" w:cs="Times New Roman"/>
                <w:sz w:val="24"/>
                <w:lang w:val="en-US" w:eastAsia="zh-CN"/>
              </w:rPr>
              <w:t>300</w:t>
            </w:r>
            <w:r>
              <w:rPr>
                <w:rFonts w:hint="default" w:ascii="Times New Roman" w:hAnsi="Times New Roman" w:cs="Times New Roman"/>
                <w:sz w:val="24"/>
              </w:rPr>
              <w:t>天，每天工作</w:t>
            </w:r>
            <w:r>
              <w:rPr>
                <w:rFonts w:hint="default" w:ascii="Times New Roman" w:hAnsi="Times New Roman" w:cs="Times New Roman"/>
                <w:sz w:val="24"/>
                <w:lang w:val="en-US" w:eastAsia="zh-CN"/>
              </w:rPr>
              <w:t>10</w:t>
            </w:r>
            <w:r>
              <w:rPr>
                <w:rFonts w:hint="default" w:ascii="Times New Roman" w:hAnsi="Times New Roman" w:cs="Times New Roman"/>
                <w:sz w:val="24"/>
              </w:rPr>
              <w:t>h计算。则项目破碎</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筛分</w:t>
            </w:r>
            <w:r>
              <w:rPr>
                <w:rFonts w:hint="default" w:ascii="Times New Roman" w:hAnsi="Times New Roman" w:cs="Times New Roman"/>
                <w:sz w:val="24"/>
              </w:rPr>
              <w:t>产生的粉尘量为</w:t>
            </w:r>
            <w:r>
              <w:rPr>
                <w:rFonts w:hint="default" w:ascii="Times New Roman" w:hAnsi="Times New Roman" w:cs="Times New Roman"/>
                <w:sz w:val="24"/>
                <w:lang w:val="en-US" w:eastAsia="zh-CN"/>
              </w:rPr>
              <w:t>189</w:t>
            </w:r>
            <w:r>
              <w:rPr>
                <w:rFonts w:hint="default" w:ascii="Times New Roman" w:hAnsi="Times New Roman" w:cs="Times New Roman"/>
                <w:bCs/>
                <w:spacing w:val="-10"/>
                <w:sz w:val="24"/>
              </w:rPr>
              <w:t>t</w:t>
            </w:r>
            <w:r>
              <w:rPr>
                <w:rFonts w:hint="default" w:ascii="Times New Roman" w:hAnsi="Times New Roman" w:cs="Times New Roman"/>
                <w:sz w:val="24"/>
              </w:rPr>
              <w:t>/a</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63</w:t>
            </w:r>
            <w:r>
              <w:rPr>
                <w:rFonts w:hint="default" w:ascii="Times New Roman" w:hAnsi="Times New Roman" w:cs="Times New Roman"/>
                <w:sz w:val="24"/>
              </w:rPr>
              <w:t>kg/h</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sz w:val="24"/>
              </w:rPr>
              <w:t>项目生产加工厂房设置顶棚、四面围挡，预留车辆进出口，。且破碎机</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筛分机</w:t>
            </w:r>
            <w:r>
              <w:rPr>
                <w:rFonts w:hint="default" w:ascii="Times New Roman" w:hAnsi="Times New Roman" w:cs="Times New Roman"/>
                <w:sz w:val="24"/>
              </w:rPr>
              <w:t>设置集气罩+布袋除尘器，破碎</w:t>
            </w:r>
            <w:r>
              <w:rPr>
                <w:rFonts w:hint="default" w:ascii="Times New Roman" w:hAnsi="Times New Roman" w:cs="Times New Roman"/>
                <w:sz w:val="24"/>
                <w:lang w:val="en-US" w:eastAsia="zh-CN"/>
              </w:rPr>
              <w:t>筛分</w:t>
            </w:r>
            <w:r>
              <w:rPr>
                <w:rFonts w:hint="default" w:ascii="Times New Roman" w:hAnsi="Times New Roman" w:cs="Times New Roman"/>
                <w:sz w:val="24"/>
              </w:rPr>
              <w:t>粉尘经布袋除尘器处理后呈无组织排放。根据《排放源统计调查产排污核算方法和系数手册》（公告2021年第24号）中附表2中密闭式结构对粉尘的控制效率为99%；根据《排放源统计调查产排污核算方法和系数手册》（公告2021年第24号）中“</w:t>
            </w:r>
            <w:r>
              <w:rPr>
                <w:rFonts w:hint="default" w:ascii="Times New Roman" w:hAnsi="Times New Roman" w:eastAsia="宋体" w:cs="Times New Roman"/>
                <w:sz w:val="24"/>
                <w:szCs w:val="24"/>
              </w:rPr>
              <w:t>303砖瓦、石材等建筑材料制造行业系数手册</w:t>
            </w:r>
            <w:r>
              <w:rPr>
                <w:rFonts w:hint="default" w:ascii="Times New Roman" w:hAnsi="Times New Roman" w:cs="Times New Roman"/>
                <w:sz w:val="24"/>
              </w:rPr>
              <w:t>”中</w:t>
            </w:r>
            <w:r>
              <w:rPr>
                <w:rFonts w:hint="default" w:ascii="Times New Roman" w:hAnsi="Times New Roman" w:eastAsia="宋体" w:cs="Times New Roman"/>
                <w:sz w:val="24"/>
                <w:szCs w:val="24"/>
              </w:rPr>
              <w:t>3039其他建筑材料制造行业</w:t>
            </w:r>
            <w:r>
              <w:rPr>
                <w:rFonts w:hint="default" w:ascii="Times New Roman" w:hAnsi="Times New Roman" w:cs="Times New Roman"/>
                <w:sz w:val="24"/>
              </w:rPr>
              <w:t>”袋式除尘的除尘效率为9</w:t>
            </w:r>
            <w:r>
              <w:rPr>
                <w:rFonts w:hint="default" w:ascii="Times New Roman" w:hAnsi="Times New Roman" w:cs="Times New Roman"/>
                <w:sz w:val="24"/>
                <w:lang w:val="en-US" w:eastAsia="zh-CN"/>
              </w:rPr>
              <w:t>9</w:t>
            </w:r>
            <w:r>
              <w:rPr>
                <w:rFonts w:hint="default" w:ascii="Times New Roman" w:hAnsi="Times New Roman" w:cs="Times New Roman"/>
                <w:sz w:val="24"/>
              </w:rPr>
              <w:t>%。则项目破碎</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筛分</w:t>
            </w:r>
            <w:r>
              <w:rPr>
                <w:rFonts w:hint="default" w:ascii="Times New Roman" w:hAnsi="Times New Roman" w:cs="Times New Roman"/>
                <w:sz w:val="24"/>
              </w:rPr>
              <w:t>粉尘排放量为0.</w:t>
            </w:r>
            <w:r>
              <w:rPr>
                <w:rFonts w:hint="default" w:ascii="Times New Roman" w:hAnsi="Times New Roman" w:cs="Times New Roman"/>
                <w:sz w:val="24"/>
                <w:lang w:val="en-US" w:eastAsia="zh-CN"/>
              </w:rPr>
              <w:t>0189</w:t>
            </w:r>
            <w:r>
              <w:rPr>
                <w:rFonts w:hint="default" w:ascii="Times New Roman" w:hAnsi="Times New Roman" w:cs="Times New Roman"/>
                <w:sz w:val="24"/>
              </w:rPr>
              <w:t>t/a</w:t>
            </w:r>
            <w:r>
              <w:rPr>
                <w:rFonts w:hint="default" w:ascii="Times New Roman" w:hAnsi="Times New Roman" w:cs="Times New Roman"/>
                <w:sz w:val="24"/>
                <w:lang w:eastAsia="zh-CN"/>
              </w:rPr>
              <w:t>，</w:t>
            </w:r>
            <w:r>
              <w:rPr>
                <w:rFonts w:hint="default" w:ascii="Times New Roman" w:hAnsi="Times New Roman" w:cs="Times New Roman"/>
                <w:sz w:val="24"/>
              </w:rPr>
              <w:t>0.00</w:t>
            </w:r>
            <w:r>
              <w:rPr>
                <w:rFonts w:hint="default" w:ascii="Times New Roman" w:hAnsi="Times New Roman" w:cs="Times New Roman"/>
                <w:sz w:val="24"/>
                <w:lang w:val="en-US" w:eastAsia="zh-CN"/>
              </w:rPr>
              <w:t>6</w:t>
            </w:r>
            <w:r>
              <w:rPr>
                <w:rFonts w:hint="default" w:ascii="Times New Roman" w:hAnsi="Times New Roman" w:cs="Times New Roman"/>
                <w:sz w:val="24"/>
              </w:rPr>
              <w:t>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微软雅黑" w:cs="Times New Roman"/>
                <w:color w:val="auto"/>
                <w:kern w:val="2"/>
                <w:sz w:val="24"/>
                <w:szCs w:val="24"/>
                <w:highlight w:val="none"/>
                <w:lang w:val="en-US" w:eastAsia="zh-CN" w:bidi="ar-SA"/>
              </w:rPr>
              <w:t>④</w:t>
            </w:r>
            <w:r>
              <w:rPr>
                <w:rFonts w:hint="default" w:ascii="Times New Roman" w:hAnsi="Times New Roman" w:eastAsia="宋体" w:cs="Times New Roman"/>
                <w:color w:val="auto"/>
                <w:kern w:val="2"/>
                <w:sz w:val="24"/>
                <w:szCs w:val="24"/>
                <w:highlight w:val="none"/>
                <w:lang w:val="en-US" w:eastAsia="zh-CN" w:bidi="ar-SA"/>
              </w:rPr>
              <w:t>原料及成品堆场扬尘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项目原料堆场和成品堆场</w:t>
            </w:r>
            <w:r>
              <w:rPr>
                <w:rFonts w:hint="default" w:ascii="Times New Roman" w:hAnsi="Times New Roman" w:eastAsia="宋体" w:cs="Times New Roman"/>
                <w:color w:val="auto"/>
                <w:sz w:val="24"/>
                <w:highlight w:val="none"/>
                <w:lang w:val="en-US" w:eastAsia="zh-CN"/>
              </w:rPr>
              <w:t>设置有围挡，有顶棚，顶棚上设置有洒水喷淋设施，</w:t>
            </w:r>
            <w:r>
              <w:rPr>
                <w:rFonts w:hint="default" w:ascii="Times New Roman" w:hAnsi="Times New Roman" w:eastAsia="宋体" w:cs="Times New Roman"/>
                <w:bCs/>
                <w:color w:val="auto"/>
                <w:sz w:val="24"/>
                <w:szCs w:val="24"/>
                <w:highlight w:val="none"/>
                <w:lang w:val="en-US" w:eastAsia="zh-CN"/>
              </w:rPr>
              <w:t>在此采用西安冶金建筑学院干堆公式计算物料堆场的扬尘量。</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公式如下：</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10"/>
                <w:sz w:val="24"/>
                <w:szCs w:val="24"/>
                <w:highlight w:val="none"/>
                <w:lang w:val="en-US" w:eastAsia="zh-CN"/>
              </w:rPr>
              <w:object>
                <v:shape id="_x0000_i1028" o:spt="75" type="#_x0000_t75" style="height:23.8pt;width:161.2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Q：起尘量，mg/s；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U：平均风速，m/s，1.9m/s；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Ap：物料堆场的面积，m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宋体" w:cs="Times New Roman"/>
                <w:bCs/>
                <w:color w:val="auto"/>
                <w:sz w:val="24"/>
                <w:szCs w:val="24"/>
                <w:highlight w:val="none"/>
                <w:lang w:val="en-US" w:eastAsia="zh-CN"/>
              </w:rPr>
              <w:t>本项目成品堆场以及原料堆场面积1250m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lang w:val="en-US" w:eastAsia="zh-CN"/>
              </w:rPr>
              <w:t>（其中成品堆场625m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vertAlign w:val="baseline"/>
                <w:lang w:val="en-US" w:eastAsia="zh-CN"/>
              </w:rPr>
              <w:t>、</w:t>
            </w:r>
            <w:r>
              <w:rPr>
                <w:rFonts w:hint="default" w:ascii="Times New Roman" w:hAnsi="Times New Roman" w:eastAsia="宋体" w:cs="Times New Roman"/>
                <w:bCs/>
                <w:color w:val="auto"/>
                <w:sz w:val="24"/>
                <w:szCs w:val="24"/>
                <w:highlight w:val="none"/>
                <w:lang w:val="en-US" w:eastAsia="zh-CN"/>
              </w:rPr>
              <w:t>原料堆场625m</w:t>
            </w:r>
            <w:r>
              <w:rPr>
                <w:rFonts w:hint="default" w:ascii="Times New Roman" w:hAnsi="Times New Roman" w:eastAsia="宋体" w:cs="Times New Roman"/>
                <w:bCs/>
                <w:color w:val="auto"/>
                <w:sz w:val="24"/>
                <w:szCs w:val="24"/>
                <w:highlight w:val="none"/>
                <w:vertAlign w:val="superscript"/>
                <w:lang w:val="en-US" w:eastAsia="zh-CN"/>
              </w:rPr>
              <w:t>2</w:t>
            </w:r>
            <w:r>
              <w:rPr>
                <w:rFonts w:hint="default" w:ascii="Times New Roman" w:hAnsi="Times New Roman" w:eastAsia="宋体" w:cs="Times New Roman"/>
                <w:bCs/>
                <w:color w:val="auto"/>
                <w:sz w:val="24"/>
                <w:szCs w:val="24"/>
                <w:highlight w:val="none"/>
                <w:lang w:val="en-US" w:eastAsia="zh-CN"/>
              </w:rPr>
              <w:t>），则堆场起尘量为12.278mg/s，0.133t/a，0.044kg/h。项目成品</w:t>
            </w:r>
            <w:r>
              <w:rPr>
                <w:rFonts w:hint="default" w:ascii="Times New Roman" w:hAnsi="Times New Roman" w:eastAsia="宋体" w:cs="Times New Roman"/>
                <w:color w:val="auto"/>
                <w:sz w:val="24"/>
                <w:highlight w:val="none"/>
                <w:lang w:val="en-US" w:eastAsia="zh-CN"/>
              </w:rPr>
              <w:t>堆场主要堆放所有产品，设置喷淋设施+厂房阻隔</w:t>
            </w:r>
            <w:r>
              <w:rPr>
                <w:rFonts w:hint="default" w:ascii="Times New Roman" w:hAnsi="Times New Roman" w:eastAsia="宋体" w:cs="Times New Roman"/>
                <w:bCs/>
                <w:color w:val="auto"/>
                <w:sz w:val="24"/>
                <w:szCs w:val="24"/>
                <w:highlight w:val="none"/>
                <w:vertAlign w:val="baseline"/>
                <w:lang w:val="en-US" w:eastAsia="zh-CN"/>
              </w:rPr>
              <w:t>，抑尘率可达80%，堆场无组织排放粉尘量为0.027t/a，0.009kg/h。</w:t>
            </w:r>
          </w:p>
          <w:p>
            <w:pPr>
              <w:spacing w:line="360" w:lineRule="auto"/>
              <w:ind w:firstLine="480"/>
              <w:rPr>
                <w:rFonts w:hint="default" w:ascii="Times New Roman" w:hAnsi="Times New Roman" w:cs="Times New Roman"/>
                <w:b w:val="0"/>
                <w:bCs/>
                <w:sz w:val="24"/>
              </w:rPr>
            </w:pPr>
            <w:r>
              <w:rPr>
                <w:rFonts w:hint="default" w:ascii="Times New Roman" w:hAnsi="Times New Roman" w:eastAsia="微软雅黑" w:cs="Times New Roman"/>
                <w:b w:val="0"/>
                <w:bCs/>
                <w:color w:val="auto"/>
                <w:sz w:val="24"/>
                <w:szCs w:val="24"/>
                <w:highlight w:val="none"/>
                <w:vertAlign w:val="baseline"/>
                <w:lang w:val="en-US" w:eastAsia="zh-CN"/>
              </w:rPr>
              <w:t>⑤</w:t>
            </w:r>
            <w:r>
              <w:rPr>
                <w:rFonts w:hint="default" w:ascii="Times New Roman" w:hAnsi="Times New Roman" w:cs="Times New Roman"/>
                <w:b w:val="0"/>
                <w:bCs/>
                <w:sz w:val="24"/>
              </w:rPr>
              <w:t>传送带输送过程粉尘</w:t>
            </w:r>
          </w:p>
          <w:p>
            <w:pPr>
              <w:spacing w:line="360" w:lineRule="auto"/>
              <w:ind w:firstLine="480"/>
              <w:rPr>
                <w:rFonts w:hint="default" w:ascii="Times New Roman" w:hAnsi="Times New Roman" w:cs="Times New Roman" w:eastAsiaTheme="minorEastAsia"/>
                <w:sz w:val="24"/>
                <w:lang w:eastAsia="zh-CN"/>
              </w:rPr>
            </w:pPr>
            <w:r>
              <w:rPr>
                <w:rFonts w:hint="default" w:ascii="Times New Roman" w:hAnsi="Times New Roman" w:cs="Times New Roman"/>
                <w:sz w:val="24"/>
              </w:rPr>
              <w:t>运营期项目产品经传送带输送至仓库，输送过程中会产生一定量的粉尘，本环评参照《逸散性工业粉尘控制技术》（中国环境科学出版社，1989.12，作者J.A.奥里蒙、G.A.久兹等编著，张良壁等编译）中的相关经验数据，传送带运输过程中产生的粉尘量按照0.0007kg/t</w:t>
            </w:r>
            <w:r>
              <w:rPr>
                <w:rFonts w:hint="default" w:ascii="Times New Roman" w:hAnsi="Times New Roman" w:cs="Times New Roman"/>
                <w:sz w:val="24"/>
                <w:lang w:eastAsia="zh-CN"/>
              </w:rPr>
              <w:t>，</w:t>
            </w:r>
            <w:r>
              <w:rPr>
                <w:rFonts w:hint="default" w:ascii="Times New Roman" w:hAnsi="Times New Roman" w:cs="Times New Roman"/>
                <w:sz w:val="24"/>
              </w:rPr>
              <w:t>传送带落料过程中的产尘量按照0.00145kg/t计计，运营期所需运送的</w:t>
            </w:r>
            <w:r>
              <w:rPr>
                <w:rFonts w:hint="default" w:ascii="Times New Roman" w:hAnsi="Times New Roman" w:cs="Times New Roman"/>
                <w:sz w:val="24"/>
                <w:lang w:val="en-US" w:eastAsia="zh-CN"/>
              </w:rPr>
              <w:t>成品</w:t>
            </w:r>
            <w:r>
              <w:rPr>
                <w:rFonts w:hint="default" w:ascii="Times New Roman" w:hAnsi="Times New Roman" w:cs="Times New Roman"/>
                <w:sz w:val="24"/>
              </w:rPr>
              <w:t>料</w:t>
            </w:r>
            <w:r>
              <w:rPr>
                <w:rFonts w:hint="default" w:ascii="Times New Roman" w:hAnsi="Times New Roman" w:cs="Times New Roman"/>
                <w:sz w:val="24"/>
                <w:lang w:val="en-US" w:eastAsia="zh-CN"/>
              </w:rPr>
              <w:t>10</w:t>
            </w:r>
            <w:r>
              <w:rPr>
                <w:rFonts w:hint="default" w:ascii="Times New Roman" w:hAnsi="Times New Roman" w:cs="Times New Roman"/>
                <w:sz w:val="24"/>
              </w:rPr>
              <w:t>0000</w:t>
            </w:r>
            <w:r>
              <w:rPr>
                <w:rFonts w:hint="default" w:ascii="Times New Roman" w:hAnsi="Times New Roman" w:cs="Times New Roman"/>
                <w:bCs/>
                <w:spacing w:val="-10"/>
                <w:sz w:val="24"/>
              </w:rPr>
              <w:t>t</w:t>
            </w:r>
            <w:r>
              <w:rPr>
                <w:rFonts w:hint="default" w:ascii="Times New Roman" w:hAnsi="Times New Roman" w:cs="Times New Roman"/>
                <w:sz w:val="24"/>
              </w:rPr>
              <w:t>/a，运营期按照年生产</w:t>
            </w:r>
            <w:r>
              <w:rPr>
                <w:rFonts w:hint="default" w:ascii="Times New Roman" w:hAnsi="Times New Roman" w:cs="Times New Roman"/>
                <w:sz w:val="24"/>
                <w:lang w:val="en-US" w:eastAsia="zh-CN"/>
              </w:rPr>
              <w:t>300</w:t>
            </w:r>
            <w:r>
              <w:rPr>
                <w:rFonts w:hint="default" w:ascii="Times New Roman" w:hAnsi="Times New Roman" w:cs="Times New Roman"/>
                <w:sz w:val="24"/>
              </w:rPr>
              <w:t>天，每天工作</w:t>
            </w:r>
            <w:r>
              <w:rPr>
                <w:rFonts w:hint="default" w:ascii="Times New Roman" w:hAnsi="Times New Roman" w:cs="Times New Roman"/>
                <w:sz w:val="24"/>
                <w:lang w:val="en-US" w:eastAsia="zh-CN"/>
              </w:rPr>
              <w:t>10</w:t>
            </w:r>
            <w:r>
              <w:rPr>
                <w:rFonts w:hint="default" w:ascii="Times New Roman" w:hAnsi="Times New Roman" w:cs="Times New Roman"/>
                <w:sz w:val="24"/>
              </w:rPr>
              <w:t>h计算，则传送带运输过程中产生的粉尘量为0.</w:t>
            </w:r>
            <w:r>
              <w:rPr>
                <w:rFonts w:hint="default" w:ascii="Times New Roman" w:hAnsi="Times New Roman" w:cs="Times New Roman"/>
                <w:sz w:val="24"/>
                <w:lang w:val="en-US" w:eastAsia="zh-CN"/>
              </w:rPr>
              <w:t>215</w:t>
            </w:r>
            <w:r>
              <w:rPr>
                <w:rFonts w:hint="default" w:ascii="Times New Roman" w:hAnsi="Times New Roman" w:cs="Times New Roman"/>
                <w:sz w:val="24"/>
              </w:rPr>
              <w:t>t/a</w:t>
            </w:r>
            <w:r>
              <w:rPr>
                <w:rFonts w:hint="default" w:ascii="Times New Roman" w:hAnsi="Times New Roman" w:cs="Times New Roman"/>
                <w:sz w:val="24"/>
                <w:lang w:eastAsia="zh-CN"/>
              </w:rPr>
              <w:t>，</w:t>
            </w:r>
            <w:r>
              <w:rPr>
                <w:rFonts w:hint="default" w:ascii="Times New Roman" w:hAnsi="Times New Roman" w:cs="Times New Roman"/>
                <w:sz w:val="24"/>
              </w:rPr>
              <w:t>0.0</w:t>
            </w:r>
            <w:r>
              <w:rPr>
                <w:rFonts w:hint="default" w:ascii="Times New Roman" w:hAnsi="Times New Roman" w:cs="Times New Roman"/>
                <w:sz w:val="24"/>
                <w:lang w:val="en-US" w:eastAsia="zh-CN"/>
              </w:rPr>
              <w:t>72</w:t>
            </w:r>
            <w:r>
              <w:rPr>
                <w:rFonts w:hint="default" w:ascii="Times New Roman" w:hAnsi="Times New Roman" w:cs="Times New Roman"/>
                <w:sz w:val="24"/>
              </w:rPr>
              <w:t>kg/h</w:t>
            </w:r>
            <w:r>
              <w:rPr>
                <w:rFonts w:hint="default" w:ascii="Times New Roman" w:hAnsi="Times New Roman" w:cs="Times New Roman"/>
                <w:sz w:val="24"/>
                <w:lang w:eastAsia="zh-CN"/>
              </w:rPr>
              <w:t>。</w:t>
            </w:r>
          </w:p>
          <w:p>
            <w:pPr>
              <w:spacing w:line="360" w:lineRule="auto"/>
              <w:ind w:firstLine="480" w:firstLineChars="200"/>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cs="Times New Roman"/>
                <w:sz w:val="24"/>
              </w:rPr>
              <w:t>项目传送带安装防尘罩等封闭设施，参考《固体物料堆存颗粒物产排污核算系数手册》，密闭式结构对粉尘的控制效率为99%，则排放速率为0.00</w:t>
            </w:r>
            <w:r>
              <w:rPr>
                <w:rFonts w:hint="default" w:ascii="Times New Roman" w:hAnsi="Times New Roman" w:cs="Times New Roman"/>
                <w:sz w:val="24"/>
                <w:lang w:val="en-US" w:eastAsia="zh-CN"/>
              </w:rPr>
              <w:t>2</w:t>
            </w:r>
            <w:r>
              <w:rPr>
                <w:rFonts w:hint="default" w:ascii="Times New Roman" w:hAnsi="Times New Roman" w:cs="Times New Roman"/>
                <w:sz w:val="24"/>
              </w:rPr>
              <w:t>t/a，0.00</w:t>
            </w:r>
            <w:r>
              <w:rPr>
                <w:rFonts w:hint="default" w:ascii="Times New Roman" w:hAnsi="Times New Roman" w:cs="Times New Roman"/>
                <w:sz w:val="24"/>
                <w:lang w:val="en-US" w:eastAsia="zh-CN"/>
              </w:rPr>
              <w:t>07</w:t>
            </w:r>
            <w:r>
              <w:rPr>
                <w:rFonts w:hint="default" w:ascii="Times New Roman" w:hAnsi="Times New Roman" w:cs="Times New Roman"/>
                <w:sz w:val="24"/>
              </w:rPr>
              <w:t>kg/h。</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vertAlign w:val="baseline"/>
                <w:lang w:val="en-US" w:eastAsia="zh-CN"/>
              </w:rPr>
            </w:pPr>
            <w:r>
              <w:rPr>
                <w:rFonts w:hint="default" w:ascii="Times New Roman" w:hAnsi="Times New Roman" w:eastAsia="微软雅黑" w:cs="Times New Roman"/>
                <w:color w:val="auto"/>
                <w:kern w:val="2"/>
                <w:sz w:val="24"/>
                <w:szCs w:val="24"/>
                <w:highlight w:val="none"/>
                <w:lang w:val="en-US" w:eastAsia="zh-CN" w:bidi="ar-SA"/>
              </w:rPr>
              <w:t>⑥</w:t>
            </w:r>
            <w:r>
              <w:rPr>
                <w:rFonts w:hint="default" w:ascii="Times New Roman" w:hAnsi="Times New Roman" w:eastAsia="宋体" w:cs="Times New Roman"/>
                <w:color w:val="auto"/>
                <w:sz w:val="24"/>
                <w:szCs w:val="24"/>
              </w:rPr>
              <w:t>运输扬尘</w:t>
            </w:r>
          </w:p>
          <w:p>
            <w:pPr>
              <w:pStyle w:val="11"/>
              <w:keepNext w:val="0"/>
              <w:keepLines w:val="0"/>
              <w:pageBreakBefore w:val="0"/>
              <w:wordWrap/>
              <w:topLinePunct w:val="0"/>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本次环评考虑的运输过程中的扬尘主要是项目区内道路运输扬尘。项目区内矿石和原料主要采用汽车运输，运输过程中将会产生一定的扬尘，运输道路上所产生的扬尘采用经验公式，即：</w:t>
            </w:r>
          </w:p>
          <w:p>
            <w:pPr>
              <w:pStyle w:val="11"/>
              <w:keepNext w:val="0"/>
              <w:keepLines w:val="0"/>
              <w:pageBreakBefore w:val="0"/>
              <w:wordWrap/>
              <w:topLinePunct w:val="0"/>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952115" cy="699135"/>
                  <wp:effectExtent l="0" t="0" r="635" b="5715"/>
                  <wp:docPr id="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
                          <pic:cNvPicPr>
                            <a:picLocks noChangeAspect="1"/>
                          </pic:cNvPicPr>
                        </pic:nvPicPr>
                        <pic:blipFill>
                          <a:blip r:embed="rId16"/>
                          <a:stretch>
                            <a:fillRect/>
                          </a:stretch>
                        </pic:blipFill>
                        <pic:spPr>
                          <a:xfrm>
                            <a:off x="0" y="0"/>
                            <a:ext cx="2952115" cy="699135"/>
                          </a:xfrm>
                          <a:prstGeom prst="rect">
                            <a:avLst/>
                          </a:prstGeom>
                          <a:noFill/>
                          <a:ln>
                            <a:noFill/>
                          </a:ln>
                        </pic:spPr>
                      </pic:pic>
                    </a:graphicData>
                  </a:graphic>
                </wp:inline>
              </w:drawing>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w:t>
            </w:r>
            <w:r>
              <w:rPr>
                <w:rFonts w:hint="default" w:ascii="Times New Roman" w:hAnsi="Times New Roman" w:eastAsia="宋体" w:cs="Times New Roman"/>
                <w:color w:val="auto"/>
                <w:sz w:val="24"/>
                <w:szCs w:val="24"/>
                <w:vertAlign w:val="subscript"/>
              </w:rPr>
              <w:t>p</w:t>
            </w:r>
            <w:r>
              <w:rPr>
                <w:rFonts w:hint="default" w:ascii="Times New Roman" w:hAnsi="Times New Roman" w:eastAsia="宋体" w:cs="Times New Roman"/>
                <w:color w:val="auto"/>
                <w:sz w:val="24"/>
                <w:szCs w:val="24"/>
              </w:rPr>
              <w:t>——每辆汽车行驶扬尘量，（kg/km·辆）；</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p总</w:t>
            </w:r>
            <w:r>
              <w:rPr>
                <w:rFonts w:hint="default" w:ascii="Times New Roman" w:hAnsi="Times New Roman" w:eastAsia="宋体" w:cs="Times New Roman"/>
                <w:color w:val="auto"/>
                <w:sz w:val="24"/>
                <w:szCs w:val="24"/>
              </w:rPr>
              <w:t>——总扬尘量，（kg/a）；</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V——车辆速度（km/h），取20km/h；</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M——车辆载重（t/辆），取</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t/辆；</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P——道路表面粉尘量，0.05~0.1kg/m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，取0.08kg/m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L——运距（km），取0.</w:t>
            </w:r>
            <w:r>
              <w:rPr>
                <w:rFonts w:hint="default"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rPr>
              <w:t>km；</w:t>
            </w:r>
          </w:p>
          <w:p>
            <w:pPr>
              <w:keepNext w:val="0"/>
              <w:keepLines w:val="0"/>
              <w:pageBreakBefore w:val="0"/>
              <w:wordWrap/>
              <w:topLinePunct w:val="0"/>
              <w:autoSpaceDE w:val="0"/>
              <w:autoSpaceDN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Q——运输量（t/a）。</w:t>
            </w:r>
          </w:p>
          <w:p>
            <w:pPr>
              <w:keepNext w:val="0"/>
              <w:keepLines w:val="0"/>
              <w:pageBreakBefore w:val="0"/>
              <w:wordWrap/>
              <w:topLinePunct w:val="0"/>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由经验公式可得，Q</w:t>
            </w:r>
            <w:r>
              <w:rPr>
                <w:rFonts w:hint="default" w:ascii="Times New Roman" w:hAnsi="Times New Roman" w:eastAsia="宋体" w:cs="Times New Roman"/>
                <w:color w:val="auto"/>
                <w:sz w:val="24"/>
                <w:szCs w:val="24"/>
                <w:vertAlign w:val="subscript"/>
              </w:rPr>
              <w:t>p</w:t>
            </w:r>
            <w:r>
              <w:rPr>
                <w:rFonts w:hint="default" w:ascii="Times New Roman" w:hAnsi="Times New Roman" w:eastAsia="宋体" w:cs="Times New Roman"/>
                <w:color w:val="auto"/>
                <w:sz w:val="24"/>
                <w:szCs w:val="24"/>
                <w:vertAlign w:val="baseline"/>
                <w:lang w:val="en-US" w:eastAsia="zh-CN"/>
              </w:rPr>
              <w:t>为0.183</w:t>
            </w:r>
            <w:r>
              <w:rPr>
                <w:rFonts w:hint="default" w:ascii="Times New Roman" w:hAnsi="Times New Roman" w:eastAsia="宋体" w:cs="Times New Roman"/>
                <w:color w:val="auto"/>
                <w:sz w:val="24"/>
                <w:szCs w:val="24"/>
              </w:rPr>
              <w:t>kg/km·辆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原料</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110000</w:t>
            </w:r>
            <w:r>
              <w:rPr>
                <w:rFonts w:hint="default" w:ascii="Times New Roman" w:hAnsi="Times New Roman" w:eastAsia="宋体" w:cs="Times New Roman"/>
                <w:color w:val="auto"/>
                <w:sz w:val="24"/>
                <w:szCs w:val="24"/>
              </w:rPr>
              <w:t>t/a，运输车辆以载重量</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t/辆计，则运输车辆共</w:t>
            </w:r>
            <w:r>
              <w:rPr>
                <w:rFonts w:hint="default" w:ascii="Times New Roman" w:hAnsi="Times New Roman" w:eastAsia="宋体" w:cs="Times New Roman"/>
                <w:color w:val="auto"/>
                <w:sz w:val="24"/>
                <w:szCs w:val="24"/>
                <w:lang w:val="en-US" w:eastAsia="zh-CN"/>
              </w:rPr>
              <w:t>11000</w:t>
            </w:r>
            <w:r>
              <w:rPr>
                <w:rFonts w:hint="default" w:ascii="Times New Roman" w:hAnsi="Times New Roman" w:eastAsia="宋体" w:cs="Times New Roman"/>
                <w:color w:val="auto"/>
                <w:sz w:val="24"/>
                <w:szCs w:val="24"/>
              </w:rPr>
              <w:t>辆次/年。项目运输道路均为</w:t>
            </w:r>
            <w:r>
              <w:rPr>
                <w:rFonts w:hint="default" w:ascii="Times New Roman" w:hAnsi="Times New Roman" w:eastAsia="宋体" w:cs="Times New Roman"/>
                <w:color w:val="auto"/>
                <w:sz w:val="24"/>
                <w:szCs w:val="24"/>
                <w:lang w:val="en-US" w:eastAsia="zh-CN"/>
              </w:rPr>
              <w:t>石块压路</w:t>
            </w:r>
            <w:r>
              <w:rPr>
                <w:rFonts w:hint="default" w:ascii="Times New Roman" w:hAnsi="Times New Roman" w:eastAsia="宋体" w:cs="Times New Roman"/>
                <w:color w:val="auto"/>
                <w:sz w:val="24"/>
                <w:szCs w:val="24"/>
              </w:rPr>
              <w:t>道路。运输道路平均长度约</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val="en-US" w:eastAsia="zh-CN"/>
              </w:rPr>
              <w:t>原料</w:t>
            </w:r>
            <w:r>
              <w:rPr>
                <w:rFonts w:hint="default" w:ascii="Times New Roman" w:hAnsi="Times New Roman" w:eastAsia="宋体" w:cs="Times New Roman"/>
                <w:color w:val="auto"/>
                <w:sz w:val="24"/>
                <w:szCs w:val="24"/>
              </w:rPr>
              <w:t>运输扬尘产生总量为</w:t>
            </w:r>
            <w:r>
              <w:rPr>
                <w:rFonts w:hint="default" w:ascii="Times New Roman" w:hAnsi="Times New Roman" w:eastAsia="宋体" w:cs="Times New Roman"/>
                <w:color w:val="auto"/>
                <w:sz w:val="24"/>
                <w:szCs w:val="24"/>
                <w:lang w:val="en-US" w:eastAsia="zh-CN"/>
              </w:rPr>
              <w:t>0.1</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val="en-US" w:eastAsia="zh-CN"/>
              </w:rPr>
              <w:t>成品</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100000</w:t>
            </w:r>
            <w:r>
              <w:rPr>
                <w:rFonts w:hint="default" w:ascii="Times New Roman" w:hAnsi="Times New Roman" w:eastAsia="宋体" w:cs="Times New Roman"/>
                <w:color w:val="auto"/>
                <w:sz w:val="24"/>
                <w:szCs w:val="24"/>
              </w:rPr>
              <w:t>t/a，运输车辆以载重量</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t/辆计，则运输车辆共</w:t>
            </w:r>
            <w:r>
              <w:rPr>
                <w:rFonts w:hint="default" w:ascii="Times New Roman" w:hAnsi="Times New Roman" w:eastAsia="宋体" w:cs="Times New Roman"/>
                <w:color w:val="auto"/>
                <w:sz w:val="24"/>
                <w:szCs w:val="24"/>
                <w:lang w:val="en-US" w:eastAsia="zh-CN"/>
              </w:rPr>
              <w:t>10000</w:t>
            </w:r>
            <w:r>
              <w:rPr>
                <w:rFonts w:hint="default" w:ascii="Times New Roman" w:hAnsi="Times New Roman" w:eastAsia="宋体" w:cs="Times New Roman"/>
                <w:color w:val="auto"/>
                <w:sz w:val="24"/>
                <w:szCs w:val="24"/>
              </w:rPr>
              <w:t>辆次/年。项目运输道路均为</w:t>
            </w:r>
            <w:r>
              <w:rPr>
                <w:rFonts w:hint="default" w:ascii="Times New Roman" w:hAnsi="Times New Roman" w:eastAsia="宋体" w:cs="Times New Roman"/>
                <w:color w:val="auto"/>
                <w:sz w:val="24"/>
                <w:szCs w:val="24"/>
                <w:lang w:val="en-US" w:eastAsia="zh-CN"/>
              </w:rPr>
              <w:t>石块压路</w:t>
            </w:r>
            <w:r>
              <w:rPr>
                <w:rFonts w:hint="default" w:ascii="Times New Roman" w:hAnsi="Times New Roman" w:eastAsia="宋体" w:cs="Times New Roman"/>
                <w:color w:val="auto"/>
                <w:sz w:val="24"/>
                <w:szCs w:val="24"/>
              </w:rPr>
              <w:t>道路。运输道路平均长度约</w:t>
            </w: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lang w:val="en-US" w:eastAsia="zh-CN"/>
              </w:rPr>
              <w:t>成品</w:t>
            </w:r>
            <w:r>
              <w:rPr>
                <w:rFonts w:hint="default" w:ascii="Times New Roman" w:hAnsi="Times New Roman" w:eastAsia="宋体" w:cs="Times New Roman"/>
                <w:color w:val="auto"/>
                <w:sz w:val="24"/>
                <w:szCs w:val="24"/>
              </w:rPr>
              <w:t>运输扬尘产生总量为</w:t>
            </w:r>
            <w:r>
              <w:rPr>
                <w:rFonts w:hint="default" w:ascii="Times New Roman" w:hAnsi="Times New Roman" w:eastAsia="宋体" w:cs="Times New Roman"/>
                <w:color w:val="auto"/>
                <w:sz w:val="24"/>
                <w:szCs w:val="24"/>
                <w:lang w:val="en-US" w:eastAsia="zh-CN"/>
              </w:rPr>
              <w:t>0.046</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val="en-US" w:eastAsia="zh-CN"/>
              </w:rPr>
              <w:t>则总运输</w:t>
            </w:r>
            <w:r>
              <w:rPr>
                <w:rFonts w:hint="default" w:ascii="Times New Roman" w:hAnsi="Times New Roman" w:eastAsia="宋体" w:cs="Times New Roman"/>
                <w:color w:val="auto"/>
                <w:sz w:val="24"/>
                <w:szCs w:val="24"/>
              </w:rPr>
              <w:t>扬尘</w:t>
            </w:r>
            <w:r>
              <w:rPr>
                <w:rFonts w:hint="default" w:ascii="Times New Roman" w:hAnsi="Times New Roman" w:eastAsia="宋体" w:cs="Times New Roman"/>
                <w:color w:val="auto"/>
                <w:sz w:val="24"/>
                <w:szCs w:val="24"/>
                <w:lang w:val="en-US" w:eastAsia="zh-CN"/>
              </w:rPr>
              <w:t>量为0.146</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考虑雨天运输不会起尘，非雨天占全年生产时间的60%，则运输扬尘产生量为</w:t>
            </w:r>
            <w:r>
              <w:rPr>
                <w:rFonts w:hint="default" w:ascii="Times New Roman" w:hAnsi="Times New Roman" w:eastAsia="宋体" w:cs="Times New Roman"/>
                <w:color w:val="auto"/>
                <w:sz w:val="24"/>
                <w:szCs w:val="24"/>
                <w:lang w:val="en-US" w:eastAsia="zh-CN"/>
              </w:rPr>
              <w:t>0.088</w:t>
            </w:r>
            <w:r>
              <w:rPr>
                <w:rFonts w:hint="default" w:ascii="Times New Roman" w:hAnsi="Times New Roman" w:eastAsia="宋体" w:cs="Times New Roman"/>
                <w:color w:val="auto"/>
                <w:sz w:val="24"/>
                <w:szCs w:val="24"/>
              </w:rPr>
              <w:t>t/a，</w:t>
            </w:r>
            <w:r>
              <w:rPr>
                <w:rFonts w:hint="default" w:ascii="Times New Roman" w:hAnsi="Times New Roman" w:cs="Times New Roman"/>
                <w:sz w:val="24"/>
              </w:rPr>
              <w:t>项目运营期对厂区地面及时清扫及洒水降尘，保持道路清洁。根据《排放源统计调查产排污核算方法和系数手册》（公告2021年第24号）中附表2中洒水控制措施控制效率为74%，则本项目运输扬尘排放量为0.0</w:t>
            </w:r>
            <w:r>
              <w:rPr>
                <w:rFonts w:hint="default" w:ascii="Times New Roman" w:hAnsi="Times New Roman" w:cs="Times New Roman"/>
                <w:sz w:val="24"/>
                <w:lang w:val="en-US" w:eastAsia="zh-CN"/>
              </w:rPr>
              <w:t>08</w:t>
            </w:r>
            <w:r>
              <w:rPr>
                <w:rFonts w:hint="default" w:ascii="Times New Roman" w:hAnsi="Times New Roman" w:cs="Times New Roman"/>
                <w:sz w:val="24"/>
              </w:rPr>
              <w:t>kg/h，0.</w:t>
            </w:r>
            <w:r>
              <w:rPr>
                <w:rFonts w:hint="default" w:ascii="Times New Roman" w:hAnsi="Times New Roman" w:cs="Times New Roman"/>
                <w:sz w:val="24"/>
                <w:lang w:val="en-US" w:eastAsia="zh-CN"/>
              </w:rPr>
              <w:t>023</w:t>
            </w:r>
            <w:r>
              <w:rPr>
                <w:rFonts w:hint="default" w:ascii="Times New Roman" w:hAnsi="Times New Roman" w:cs="Times New Roman"/>
                <w:sz w:val="24"/>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微软雅黑" w:cs="Times New Roman"/>
                <w:color w:val="auto"/>
                <w:kern w:val="2"/>
                <w:sz w:val="24"/>
                <w:szCs w:val="24"/>
                <w:highlight w:val="none"/>
                <w:lang w:val="en-US" w:eastAsia="zh-CN" w:bidi="ar-SA"/>
              </w:rPr>
              <w:t>⑦</w:t>
            </w:r>
            <w:r>
              <w:rPr>
                <w:rFonts w:hint="default" w:ascii="Times New Roman" w:hAnsi="Times New Roman" w:eastAsia="宋体" w:cs="Times New Roman"/>
                <w:color w:val="auto"/>
                <w:kern w:val="2"/>
                <w:sz w:val="24"/>
                <w:szCs w:val="24"/>
                <w:highlight w:val="none"/>
                <w:lang w:val="en-US" w:eastAsia="zh-CN" w:bidi="ar-SA"/>
              </w:rPr>
              <w:t>厨房油烟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2"/>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设置食堂供给</w:t>
            </w:r>
            <w:r>
              <w:rPr>
                <w:rFonts w:hint="default" w:ascii="Times New Roman" w:hAnsi="Times New Roman" w:cs="Times New Roman"/>
                <w:color w:val="auto"/>
                <w:sz w:val="24"/>
                <w:szCs w:val="24"/>
                <w:lang w:eastAsia="zh-CN"/>
              </w:rPr>
              <w:t>职工</w:t>
            </w:r>
            <w:r>
              <w:rPr>
                <w:rFonts w:hint="default" w:ascii="Times New Roman" w:hAnsi="Times New Roman" w:cs="Times New Roman"/>
                <w:color w:val="auto"/>
                <w:sz w:val="24"/>
                <w:szCs w:val="24"/>
              </w:rPr>
              <w:t>，食堂采用电、液化气等清洁能源。在炊煮过程中会产生少量的炊煮油烟。</w:t>
            </w:r>
            <w:r>
              <w:rPr>
                <w:rFonts w:hint="default" w:ascii="Times New Roman" w:hAnsi="Times New Roman" w:cs="Times New Roman"/>
                <w:color w:val="auto"/>
                <w:sz w:val="24"/>
                <w:szCs w:val="24"/>
                <w:lang w:eastAsia="zh-CN"/>
              </w:rPr>
              <w:t>项目建成后每天用餐人数约平均</w:t>
            </w:r>
            <w:r>
              <w:rPr>
                <w:rFonts w:hint="default" w:ascii="Times New Roman" w:hAnsi="Times New Roman" w:cs="Times New Roman"/>
                <w:color w:val="auto"/>
                <w:sz w:val="24"/>
                <w:szCs w:val="24"/>
                <w:lang w:val="en-US" w:eastAsia="zh-CN"/>
              </w:rPr>
              <w:t>9人。</w:t>
            </w:r>
            <w:r>
              <w:rPr>
                <w:rFonts w:hint="default" w:ascii="Times New Roman" w:hAnsi="Times New Roman" w:cs="Times New Roman"/>
                <w:color w:val="auto"/>
                <w:sz w:val="24"/>
                <w:lang w:val="zh-CN"/>
              </w:rPr>
              <w:t>目前人均食用油用量约30g/人·</w:t>
            </w:r>
            <w:r>
              <w:rPr>
                <w:rFonts w:hint="default" w:ascii="Times New Roman" w:hAnsi="Times New Roman" w:cs="Times New Roman"/>
                <w:color w:val="auto"/>
                <w:sz w:val="24"/>
              </w:rPr>
              <w:t>d</w:t>
            </w:r>
            <w:r>
              <w:rPr>
                <w:rFonts w:hint="default" w:ascii="Times New Roman" w:hAnsi="Times New Roman" w:cs="Times New Roman"/>
                <w:color w:val="auto"/>
                <w:sz w:val="24"/>
                <w:lang w:val="zh-CN"/>
              </w:rPr>
              <w:t>，一般油烟挥发量占总耗油量经验取值为2.83%，其食用油消耗量约为</w:t>
            </w:r>
            <w:r>
              <w:rPr>
                <w:rFonts w:hint="default" w:ascii="Times New Roman" w:hAnsi="Times New Roman" w:cs="Times New Roman"/>
                <w:color w:val="auto"/>
                <w:sz w:val="24"/>
                <w:lang w:val="en-US" w:eastAsia="zh-CN"/>
              </w:rPr>
              <w:t>0.27</w:t>
            </w:r>
            <w:r>
              <w:rPr>
                <w:rFonts w:hint="default" w:ascii="Times New Roman" w:hAnsi="Times New Roman" w:cs="Times New Roman"/>
                <w:color w:val="auto"/>
                <w:sz w:val="24"/>
                <w:lang w:val="zh-CN"/>
              </w:rPr>
              <w:t>kg/d，油烟产生量约为</w:t>
            </w:r>
            <w:r>
              <w:rPr>
                <w:rFonts w:hint="default" w:ascii="Times New Roman" w:hAnsi="Times New Roman" w:cs="Times New Roman"/>
                <w:color w:val="auto"/>
                <w:sz w:val="24"/>
              </w:rPr>
              <w:t>0.0</w:t>
            </w:r>
            <w:r>
              <w:rPr>
                <w:rFonts w:hint="default" w:ascii="Times New Roman" w:hAnsi="Times New Roman" w:cs="Times New Roman"/>
                <w:color w:val="auto"/>
                <w:sz w:val="24"/>
                <w:lang w:val="en-US" w:eastAsia="zh-CN"/>
              </w:rPr>
              <w:t>08</w:t>
            </w:r>
            <w:r>
              <w:rPr>
                <w:rFonts w:hint="default" w:ascii="Times New Roman" w:hAnsi="Times New Roman" w:cs="Times New Roman"/>
                <w:color w:val="auto"/>
                <w:sz w:val="24"/>
                <w:lang w:val="zh-CN"/>
              </w:rPr>
              <w:t>kg/d、</w:t>
            </w:r>
            <w:r>
              <w:rPr>
                <w:rFonts w:hint="default" w:ascii="Times New Roman" w:hAnsi="Times New Roman" w:cs="Times New Roman"/>
                <w:color w:val="auto"/>
                <w:sz w:val="24"/>
                <w:lang w:val="en-US" w:eastAsia="zh-CN"/>
              </w:rPr>
              <w:t>2.4</w:t>
            </w:r>
            <w:r>
              <w:rPr>
                <w:rFonts w:hint="default" w:ascii="Times New Roman" w:hAnsi="Times New Roman" w:cs="Times New Roman"/>
                <w:color w:val="auto"/>
                <w:sz w:val="24"/>
              </w:rPr>
              <w:t>kg</w:t>
            </w:r>
            <w:r>
              <w:rPr>
                <w:rFonts w:hint="default" w:ascii="Times New Roman" w:hAnsi="Times New Roman" w:cs="Times New Roman"/>
                <w:color w:val="auto"/>
                <w:sz w:val="24"/>
                <w:lang w:val="zh-CN"/>
              </w:rPr>
              <w:t>/a，所设置食堂属</w:t>
            </w:r>
            <w:r>
              <w:rPr>
                <w:rFonts w:hint="default" w:ascii="Times New Roman" w:hAnsi="Times New Roman" w:cs="Times New Roman"/>
                <w:color w:val="auto"/>
                <w:sz w:val="24"/>
                <w:lang w:val="en-US" w:eastAsia="zh-CN"/>
              </w:rPr>
              <w:t>小</w:t>
            </w:r>
            <w:r>
              <w:rPr>
                <w:rFonts w:hint="default" w:ascii="Times New Roman" w:hAnsi="Times New Roman" w:cs="Times New Roman"/>
                <w:color w:val="auto"/>
                <w:sz w:val="24"/>
                <w:lang w:val="zh-CN"/>
              </w:rPr>
              <w:t>型规模，其设置油烟净化器净化效率不低于</w:t>
            </w:r>
            <w:r>
              <w:rPr>
                <w:rFonts w:hint="default" w:ascii="Times New Roman" w:hAnsi="Times New Roman" w:cs="Times New Roman"/>
                <w:color w:val="auto"/>
                <w:sz w:val="24"/>
              </w:rPr>
              <w:t>75</w:t>
            </w:r>
            <w:r>
              <w:rPr>
                <w:rFonts w:hint="default" w:ascii="Times New Roman" w:hAnsi="Times New Roman" w:cs="Times New Roman"/>
                <w:color w:val="auto"/>
                <w:sz w:val="24"/>
                <w:lang w:val="zh-CN"/>
              </w:rPr>
              <w:t>%，油烟经处理后，排放量</w:t>
            </w:r>
            <w:r>
              <w:rPr>
                <w:rFonts w:hint="default" w:ascii="Times New Roman" w:hAnsi="Times New Roman" w:cs="Times New Roman"/>
                <w:color w:val="auto"/>
                <w:sz w:val="24"/>
              </w:rPr>
              <w:t>0.0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2</w:t>
            </w:r>
            <w:r>
              <w:rPr>
                <w:rFonts w:hint="default" w:ascii="Times New Roman" w:hAnsi="Times New Roman" w:cs="Times New Roman"/>
                <w:color w:val="auto"/>
                <w:sz w:val="24"/>
                <w:lang w:val="zh-CN"/>
              </w:rPr>
              <w:t>kg/d，</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6kg</w:t>
            </w:r>
            <w:r>
              <w:rPr>
                <w:rFonts w:hint="default" w:ascii="Times New Roman" w:hAnsi="Times New Roman" w:cs="Times New Roman"/>
                <w:color w:val="auto"/>
                <w:sz w:val="24"/>
                <w:lang w:val="zh-CN"/>
              </w:rPr>
              <w:t>/a，油烟排放浓度约</w:t>
            </w:r>
            <w:r>
              <w:rPr>
                <w:rFonts w:hint="default" w:ascii="Times New Roman" w:hAnsi="Times New Roman" w:cs="Times New Roman"/>
                <w:color w:val="auto"/>
                <w:sz w:val="24"/>
              </w:rPr>
              <w:t>0.</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lang w:val="zh-CN"/>
              </w:rPr>
              <w:t>mg/m</w:t>
            </w:r>
            <w:r>
              <w:rPr>
                <w:rFonts w:hint="default" w:ascii="Times New Roman" w:hAnsi="Times New Roman" w:cs="Times New Roman"/>
                <w:color w:val="auto"/>
                <w:sz w:val="24"/>
                <w:vertAlign w:val="superscript"/>
                <w:lang w:val="zh-CN"/>
              </w:rPr>
              <w:t>3</w:t>
            </w:r>
            <w:r>
              <w:rPr>
                <w:rFonts w:hint="default" w:ascii="Times New Roman" w:hAnsi="Times New Roman" w:cs="Times New Roman"/>
                <w:color w:val="auto"/>
                <w:sz w:val="24"/>
                <w:lang w:val="zh-CN"/>
              </w:rPr>
              <w:t>＜2</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lang w:val="zh-CN"/>
              </w:rPr>
              <w:t>。采取上述措施后油烟</w:t>
            </w:r>
            <w:r>
              <w:rPr>
                <w:rFonts w:hint="default" w:ascii="Times New Roman" w:hAnsi="Times New Roman" w:cs="Times New Roman"/>
                <w:color w:val="auto"/>
                <w:sz w:val="24"/>
              </w:rPr>
              <w:t>废气排放量较小。</w:t>
            </w:r>
            <w:r>
              <w:rPr>
                <w:rFonts w:hint="default" w:ascii="Times New Roman" w:hAnsi="Times New Roman" w:cs="Times New Roman"/>
                <w:color w:val="auto"/>
                <w:sz w:val="24"/>
                <w:szCs w:val="24"/>
                <w:lang w:val="en-US" w:eastAsia="zh-CN"/>
              </w:rPr>
              <w:t>评价要求</w:t>
            </w:r>
            <w:r>
              <w:rPr>
                <w:rFonts w:hint="default" w:ascii="Times New Roman" w:hAnsi="Times New Roman" w:cs="Times New Roman"/>
                <w:sz w:val="24"/>
                <w:szCs w:val="22"/>
                <w:lang w:eastAsia="zh-CN"/>
              </w:rPr>
              <w:t>项目</w:t>
            </w:r>
            <w:r>
              <w:rPr>
                <w:rFonts w:hint="default" w:ascii="Times New Roman" w:hAnsi="Times New Roman" w:cs="Times New Roman"/>
                <w:sz w:val="24"/>
                <w:szCs w:val="22"/>
              </w:rPr>
              <w:t>厨房油烟</w:t>
            </w:r>
            <w:r>
              <w:rPr>
                <w:rFonts w:hint="default" w:ascii="Times New Roman" w:hAnsi="Times New Roman" w:cs="Times New Roman"/>
                <w:sz w:val="24"/>
                <w:szCs w:val="22"/>
                <w:lang w:eastAsia="zh-CN"/>
              </w:rPr>
              <w:t>应</w:t>
            </w:r>
            <w:r>
              <w:rPr>
                <w:rFonts w:hint="default" w:ascii="Times New Roman" w:hAnsi="Times New Roman" w:cs="Times New Roman"/>
                <w:sz w:val="24"/>
                <w:szCs w:val="22"/>
              </w:rPr>
              <w:t>经油烟净化处理后，</w:t>
            </w:r>
            <w:r>
              <w:rPr>
                <w:rFonts w:hint="default" w:ascii="Times New Roman" w:hAnsi="Times New Roman" w:cs="Times New Roman"/>
                <w:sz w:val="24"/>
                <w:szCs w:val="22"/>
                <w:lang w:val="en-US" w:eastAsia="zh-CN"/>
              </w:rPr>
              <w:t>能</w:t>
            </w:r>
            <w:r>
              <w:rPr>
                <w:rFonts w:hint="default" w:ascii="Times New Roman" w:hAnsi="Times New Roman" w:cs="Times New Roman"/>
                <w:sz w:val="24"/>
                <w:szCs w:val="22"/>
              </w:rPr>
              <w:t>达到《饮食业油烟排放标准》</w:t>
            </w:r>
            <w:r>
              <w:rPr>
                <w:rFonts w:hint="default" w:ascii="Times New Roman" w:hAnsi="Times New Roman" w:cs="Times New Roman"/>
                <w:sz w:val="24"/>
                <w:szCs w:val="22"/>
                <w:lang w:eastAsia="zh-CN"/>
              </w:rPr>
              <w:t>（</w:t>
            </w:r>
            <w:r>
              <w:rPr>
                <w:rFonts w:hint="default" w:ascii="Times New Roman" w:hAnsi="Times New Roman" w:cs="Times New Roman"/>
                <w:sz w:val="24"/>
                <w:szCs w:val="22"/>
              </w:rPr>
              <w:t>GB18483-2001</w:t>
            </w:r>
            <w:r>
              <w:rPr>
                <w:rFonts w:hint="default" w:ascii="Times New Roman" w:hAnsi="Times New Roman" w:cs="Times New Roman"/>
                <w:sz w:val="24"/>
                <w:szCs w:val="22"/>
                <w:lang w:eastAsia="zh-CN"/>
              </w:rPr>
              <w:t>）</w:t>
            </w:r>
            <w:r>
              <w:rPr>
                <w:rFonts w:hint="default" w:ascii="Times New Roman" w:hAnsi="Times New Roman" w:cs="Times New Roman"/>
                <w:sz w:val="24"/>
                <w:szCs w:val="22"/>
              </w:rPr>
              <w:t>中排放浓度不得超过2.0mg/m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微软雅黑" w:cs="Times New Roman"/>
                <w:color w:val="auto"/>
                <w:kern w:val="2"/>
                <w:sz w:val="24"/>
                <w:szCs w:val="24"/>
                <w:highlight w:val="none"/>
                <w:lang w:val="en-US" w:eastAsia="zh-CN" w:bidi="ar-SA"/>
              </w:rPr>
              <w:t>⑧</w:t>
            </w:r>
            <w:r>
              <w:rPr>
                <w:rFonts w:hint="default" w:ascii="Times New Roman" w:hAnsi="Times New Roman" w:eastAsia="宋体" w:cs="Times New Roman"/>
                <w:color w:val="auto"/>
                <w:kern w:val="2"/>
                <w:sz w:val="24"/>
                <w:szCs w:val="24"/>
                <w:highlight w:val="none"/>
                <w:lang w:val="en-US" w:eastAsia="zh-CN" w:bidi="ar-SA"/>
              </w:rPr>
              <w:t>汽车尾气</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运输车辆运行时会产生一定量的尾气，为动力燃料柴油和汽油燃烧后所产生，</w:t>
            </w:r>
            <w:r>
              <w:rPr>
                <w:rFonts w:hint="eastAsia" w:ascii="Times New Roman" w:hAnsi="Times New Roman" w:eastAsia="宋体" w:cs="Times New Roman"/>
                <w:color w:val="auto"/>
                <w:kern w:val="2"/>
                <w:sz w:val="24"/>
                <w:szCs w:val="24"/>
                <w:highlight w:val="none"/>
                <w:lang w:val="en-US" w:eastAsia="zh-CN" w:bidi="ar-SA"/>
              </w:rPr>
              <w:t>主要成分是</w:t>
            </w:r>
            <w:r>
              <w:rPr>
                <w:rFonts w:hint="default" w:ascii="Times New Roman" w:hAnsi="Times New Roman" w:eastAsia="宋体" w:cs="Times New Roman"/>
                <w:color w:val="auto"/>
                <w:kern w:val="2"/>
                <w:sz w:val="24"/>
                <w:szCs w:val="24"/>
                <w:highlight w:val="none"/>
                <w:lang w:val="en-US" w:eastAsia="zh-CN" w:bidi="ar-SA"/>
              </w:rPr>
              <w:t>烯烃类、CO和NO</w:t>
            </w:r>
            <w:r>
              <w:rPr>
                <w:rFonts w:hint="default" w:ascii="Times New Roman" w:hAnsi="Times New Roman" w:eastAsia="宋体" w:cs="Times New Roman"/>
                <w:color w:val="auto"/>
                <w:kern w:val="2"/>
                <w:sz w:val="24"/>
                <w:szCs w:val="24"/>
                <w:highlight w:val="none"/>
                <w:vertAlign w:val="subscript"/>
                <w:lang w:val="en-US" w:eastAsia="zh-CN" w:bidi="ar-SA"/>
              </w:rPr>
              <w:t>X</w:t>
            </w:r>
            <w:r>
              <w:rPr>
                <w:rFonts w:hint="default" w:ascii="Times New Roman" w:hAnsi="Times New Roman" w:eastAsia="宋体" w:cs="Times New Roman"/>
                <w:color w:val="auto"/>
                <w:kern w:val="2"/>
                <w:sz w:val="24"/>
                <w:szCs w:val="24"/>
                <w:highlight w:val="none"/>
                <w:lang w:val="en-US" w:eastAsia="zh-CN" w:bidi="ar-SA"/>
              </w:rPr>
              <w:t>，是影响空气环境的主要污染物之一，属无组织排放。运输车辆进出项目区时多为怠速行驶，尾气的产生量不大，车辆流动性大，污染源不集中，容易扩散。</w:t>
            </w:r>
            <w:r>
              <w:rPr>
                <w:rFonts w:hint="default" w:ascii="Times New Roman" w:hAnsi="Times New Roman" w:eastAsia="宋体" w:cs="Times New Roman"/>
                <w:snapToGrid w:val="0"/>
                <w:color w:val="auto"/>
                <w:kern w:val="0"/>
                <w:sz w:val="24"/>
                <w:szCs w:val="20"/>
              </w:rPr>
              <w:t>产生的汽车尾气呈无组织排放，</w:t>
            </w:r>
            <w:r>
              <w:rPr>
                <w:rFonts w:hint="default" w:ascii="Times New Roman" w:hAnsi="Times New Roman" w:eastAsia="宋体" w:cs="Times New Roman"/>
                <w:snapToGrid w:val="0"/>
                <w:color w:val="auto"/>
                <w:kern w:val="0"/>
                <w:sz w:val="24"/>
                <w:szCs w:val="20"/>
                <w:lang w:val="en-US" w:eastAsia="zh-CN"/>
              </w:rPr>
              <w:t>项目区厂界周边有较多绿化植被</w:t>
            </w:r>
            <w:r>
              <w:rPr>
                <w:rFonts w:hint="default" w:ascii="Times New Roman" w:hAnsi="Times New Roman" w:eastAsia="宋体" w:cs="Times New Roman"/>
                <w:snapToGrid w:val="0"/>
                <w:color w:val="auto"/>
                <w:kern w:val="0"/>
                <w:sz w:val="24"/>
                <w:szCs w:val="20"/>
              </w:rPr>
              <w:t>，通过大气自然扩散和绿化植被吸收</w:t>
            </w:r>
            <w:r>
              <w:rPr>
                <w:rFonts w:hint="default" w:ascii="Times New Roman" w:hAnsi="Times New Roman" w:eastAsia="宋体" w:cs="Times New Roman"/>
                <w:snapToGrid w:val="0"/>
                <w:color w:val="auto"/>
                <w:kern w:val="0"/>
                <w:sz w:val="24"/>
                <w:szCs w:val="20"/>
                <w:lang w:val="en-US" w:eastAsia="zh-CN"/>
              </w:rPr>
              <w:t>后周边环境影响较小</w:t>
            </w:r>
            <w:r>
              <w:rPr>
                <w:rFonts w:hint="default" w:ascii="Times New Roman" w:hAnsi="Times New Roman" w:eastAsia="宋体" w:cs="Times New Roman"/>
                <w:snapToGrid w:val="0"/>
                <w:color w:val="auto"/>
                <w:kern w:val="0"/>
                <w:sz w:val="24"/>
                <w:szCs w:val="20"/>
              </w:rPr>
              <w:t>。</w:t>
            </w:r>
          </w:p>
          <w:p>
            <w:pPr>
              <w:pageBreakBefore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cs="Times New Roman"/>
                <w:b/>
                <w:bCs w:val="0"/>
                <w:color w:val="auto"/>
                <w:sz w:val="24"/>
              </w:rPr>
            </w:pPr>
            <w:r>
              <w:rPr>
                <w:rFonts w:hint="eastAsia" w:ascii="Times New Roman" w:hAnsi="Times New Roman" w:cs="Times New Roman"/>
                <w:b/>
                <w:bCs w:val="0"/>
                <w:color w:val="auto"/>
                <w:sz w:val="24"/>
                <w:lang w:val="en-US" w:eastAsia="zh-CN"/>
              </w:rPr>
              <w:t>3</w:t>
            </w:r>
            <w:r>
              <w:rPr>
                <w:rFonts w:hint="eastAsia" w:ascii="Times New Roman" w:hAnsi="Times New Roman" w:cs="Times New Roman"/>
                <w:b/>
                <w:bCs w:val="0"/>
                <w:color w:val="auto"/>
                <w:sz w:val="24"/>
              </w:rPr>
              <w:t>、</w:t>
            </w:r>
            <w:r>
              <w:rPr>
                <w:rFonts w:ascii="Times New Roman" w:hAnsi="Times New Roman" w:cs="Times New Roman"/>
                <w:b/>
                <w:bCs w:val="0"/>
                <w:color w:val="auto"/>
                <w:sz w:val="24"/>
              </w:rPr>
              <w:t>废气污染防治措施可行性分析</w:t>
            </w:r>
          </w:p>
          <w:p>
            <w:pPr>
              <w:pStyle w:val="23"/>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Cs/>
                <w:color w:val="auto"/>
                <w:kern w:val="21"/>
                <w:sz w:val="24"/>
                <w:lang w:val="en-US" w:eastAsia="zh-CN"/>
              </w:rPr>
            </w:pPr>
            <w:r>
              <w:rPr>
                <w:rFonts w:hint="eastAsia" w:ascii="Times New Roman" w:hAnsi="Times New Roman" w:cs="Times New Roman"/>
                <w:bCs/>
                <w:color w:val="auto"/>
                <w:kern w:val="21"/>
                <w:sz w:val="24"/>
                <w:lang w:val="en-US" w:eastAsia="zh-CN"/>
              </w:rPr>
              <w:t>参照</w:t>
            </w:r>
            <w:r>
              <w:rPr>
                <w:rFonts w:hint="default" w:ascii="Times New Roman" w:hAnsi="Times New Roman" w:cs="Times New Roman"/>
                <w:bCs/>
                <w:color w:val="auto"/>
                <w:kern w:val="21"/>
                <w:sz w:val="24"/>
              </w:rPr>
              <w:t>《排污许可证申请与核发技术规范</w:t>
            </w:r>
            <w:r>
              <w:rPr>
                <w:rFonts w:hint="eastAsia" w:ascii="Times New Roman" w:hAnsi="Times New Roman" w:cs="Times New Roman"/>
                <w:bCs/>
                <w:color w:val="auto"/>
                <w:kern w:val="21"/>
                <w:sz w:val="24"/>
                <w:lang w:val="en-US" w:eastAsia="zh-CN"/>
              </w:rPr>
              <w:t>陶瓷砖瓦工业</w:t>
            </w:r>
            <w:r>
              <w:rPr>
                <w:rFonts w:hint="default" w:ascii="Times New Roman" w:hAnsi="Times New Roman" w:cs="Times New Roman"/>
                <w:bCs/>
                <w:color w:val="auto"/>
                <w:kern w:val="21"/>
                <w:sz w:val="24"/>
              </w:rPr>
              <w:t>》（HJ</w:t>
            </w:r>
            <w:r>
              <w:rPr>
                <w:rFonts w:hint="eastAsia" w:ascii="Times New Roman" w:hAnsi="Times New Roman" w:cs="Times New Roman"/>
                <w:bCs/>
                <w:color w:val="auto"/>
                <w:kern w:val="21"/>
                <w:sz w:val="24"/>
                <w:lang w:val="en-US" w:eastAsia="zh-CN"/>
              </w:rPr>
              <w:t>954</w:t>
            </w:r>
            <w:r>
              <w:rPr>
                <w:rFonts w:hint="default" w:ascii="Times New Roman" w:hAnsi="Times New Roman" w:cs="Times New Roman"/>
                <w:bCs/>
                <w:color w:val="auto"/>
                <w:kern w:val="21"/>
                <w:sz w:val="24"/>
              </w:rPr>
              <w:t>-20</w:t>
            </w:r>
            <w:r>
              <w:rPr>
                <w:rFonts w:hint="eastAsia" w:ascii="Times New Roman" w:hAnsi="Times New Roman" w:cs="Times New Roman"/>
                <w:bCs/>
                <w:color w:val="auto"/>
                <w:kern w:val="21"/>
                <w:sz w:val="24"/>
                <w:lang w:val="en-US" w:eastAsia="zh-CN"/>
              </w:rPr>
              <w:t>18</w:t>
            </w:r>
            <w:r>
              <w:rPr>
                <w:rFonts w:hint="default" w:ascii="Times New Roman" w:hAnsi="Times New Roman" w:cs="Times New Roman"/>
                <w:bCs/>
                <w:color w:val="auto"/>
                <w:kern w:val="21"/>
                <w:sz w:val="24"/>
              </w:rPr>
              <w:t>）</w:t>
            </w:r>
            <w:r>
              <w:rPr>
                <w:rFonts w:hint="eastAsia" w:ascii="Times New Roman" w:hAnsi="Times New Roman" w:cs="Times New Roman"/>
                <w:bCs/>
                <w:color w:val="auto"/>
                <w:kern w:val="21"/>
                <w:sz w:val="24"/>
                <w:lang w:val="en-US" w:eastAsia="zh-CN"/>
              </w:rPr>
              <w:t>表33其他制品类工业排污单位废气污染防治可行技术参照表，本项目破碎机筛分工序过程采取湿法作业</w:t>
            </w:r>
            <w:r>
              <w:rPr>
                <w:rFonts w:hint="eastAsia"/>
                <w:color w:val="auto"/>
                <w:sz w:val="24"/>
                <w:szCs w:val="24"/>
                <w:lang w:val="en-US" w:eastAsia="zh-CN"/>
              </w:rPr>
              <w:t>。</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其他制品类工业排污单位废气污染防治可行技术</w:t>
            </w:r>
            <w:r>
              <w:rPr>
                <w:rFonts w:hint="default" w:ascii="Times New Roman" w:hAnsi="Times New Roman" w:eastAsia="宋体" w:cs="Times New Roman"/>
                <w:b/>
                <w:bCs/>
                <w:color w:val="auto"/>
                <w:sz w:val="21"/>
                <w:szCs w:val="21"/>
              </w:rPr>
              <w:t>参照表</w:t>
            </w:r>
          </w:p>
          <w:tbl>
            <w:tblPr>
              <w:tblStyle w:val="26"/>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5"/>
              <w:gridCol w:w="1542"/>
              <w:gridCol w:w="3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455"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工序</w:t>
                  </w:r>
                </w:p>
              </w:tc>
              <w:tc>
                <w:tcPr>
                  <w:tcW w:w="1542"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污染物种类</w:t>
                  </w:r>
                </w:p>
              </w:tc>
              <w:tc>
                <w:tcPr>
                  <w:tcW w:w="3523"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color w:val="auto"/>
                      <w:sz w:val="21"/>
                      <w:szCs w:val="21"/>
                      <w:lang w:val="en-US" w:eastAsia="zh-CN"/>
                    </w:rPr>
                  </w:pPr>
                  <w:r>
                    <w:rPr>
                      <w:rFonts w:hint="eastAsia"/>
                      <w:b/>
                      <w:bCs/>
                      <w:color w:val="auto"/>
                      <w:sz w:val="21"/>
                      <w:szCs w:val="21"/>
                      <w:lang w:val="en-US" w:eastAsia="zh-CN"/>
                    </w:rPr>
                    <w:t>可行技术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455" w:type="dxa"/>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lang w:val="en-US" w:eastAsia="zh-CN"/>
                    </w:rPr>
                  </w:pPr>
                  <w:r>
                    <w:rPr>
                      <w:rFonts w:hint="eastAsia"/>
                      <w:color w:val="auto"/>
                      <w:sz w:val="21"/>
                      <w:szCs w:val="21"/>
                      <w:lang w:val="en-US" w:eastAsia="zh-CN"/>
                    </w:rPr>
                    <w:t>生产过程中破碎机、搅拌机、成型机、其他废气收集装置对应排放口</w:t>
                  </w:r>
                </w:p>
              </w:tc>
              <w:tc>
                <w:tcPr>
                  <w:tcW w:w="1542"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1"/>
                      <w:szCs w:val="21"/>
                      <w:lang w:eastAsia="zh-CN"/>
                    </w:rPr>
                  </w:pPr>
                  <w:r>
                    <w:rPr>
                      <w:rFonts w:hint="eastAsia"/>
                      <w:color w:val="auto"/>
                      <w:sz w:val="21"/>
                      <w:szCs w:val="21"/>
                      <w:lang w:eastAsia="zh-CN"/>
                    </w:rPr>
                    <w:t>颗粒物</w:t>
                  </w:r>
                </w:p>
              </w:tc>
              <w:tc>
                <w:tcPr>
                  <w:tcW w:w="3523" w:type="dxa"/>
                  <w:vAlign w:val="center"/>
                </w:tcPr>
                <w:p>
                  <w:pPr>
                    <w:pStyle w:val="4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1"/>
                      <w:szCs w:val="21"/>
                      <w:lang w:eastAsia="zh-CN"/>
                    </w:rPr>
                  </w:pPr>
                  <w:r>
                    <w:rPr>
                      <w:rFonts w:hint="eastAsia"/>
                      <w:color w:val="auto"/>
                      <w:sz w:val="21"/>
                      <w:szCs w:val="21"/>
                      <w:lang w:eastAsia="zh-CN"/>
                    </w:rPr>
                    <w:t>湿法作业或采用袋式除尘等技术</w:t>
                  </w:r>
                </w:p>
              </w:tc>
            </w:tr>
          </w:tbl>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rPr>
              <w:t>项目无组织排放废气防治措施有效性分析</w:t>
            </w:r>
          </w:p>
          <w:tbl>
            <w:tblPr>
              <w:tblStyle w:val="26"/>
              <w:tblW w:w="7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053"/>
              <w:gridCol w:w="244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560" w:type="dxa"/>
                  <w:gridSpan w:val="2"/>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其他制品类工业排污单位无组织排放控制要求</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项目环保措施</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7"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原辅料制备</w:t>
                  </w:r>
                </w:p>
              </w:tc>
              <w:tc>
                <w:tcPr>
                  <w:tcW w:w="4053"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1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①</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物料料场应采用封闭、半封闭料场（仓、库、棚），或四周设置防风抑尘网、挡风墙，或采取覆盖等抑尘措施，防风抑尘网、挡风墙高度不低于堆存物料高度的1.1倍；有包装袋的物料采取覆盖措施。</w:t>
                  </w:r>
                </w:p>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2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②</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粉状物料应密闭输送；其他物料输送应在转运点设置集气罩，并配备除尘设施。</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项目原料为洞渣，为块状物料。项目原料仓库、成品仓库设置顶棚、四面围挡，预留车辆进出口。</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jc w:val="center"/>
              </w:trPr>
              <w:tc>
                <w:tcPr>
                  <w:tcW w:w="507"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生产系统</w:t>
                  </w:r>
                </w:p>
              </w:tc>
              <w:tc>
                <w:tcPr>
                  <w:tcW w:w="4053"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1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①</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原料的粉碎、筛分、配料、混合搅拌等工序，应采用封闭式作业，并配备除尘设施。</w:t>
                  </w:r>
                </w:p>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fldChar w:fldCharType="begin"/>
                  </w:r>
                  <w:r>
                    <w:rPr>
                      <w:rFonts w:hint="eastAsia"/>
                      <w:b w:val="0"/>
                      <w:bCs w:val="0"/>
                      <w:color w:val="auto"/>
                      <w:sz w:val="21"/>
                      <w:szCs w:val="21"/>
                      <w:lang w:val="en-US" w:eastAsia="zh-CN"/>
                    </w:rPr>
                    <w:instrText xml:space="preserve"> = 2 \* GB3 \* MERGEFORMAT </w:instrText>
                  </w:r>
                  <w:r>
                    <w:rPr>
                      <w:rFonts w:hint="eastAsia"/>
                      <w:b w:val="0"/>
                      <w:bCs w:val="0"/>
                      <w:color w:val="auto"/>
                      <w:sz w:val="21"/>
                      <w:szCs w:val="21"/>
                      <w:lang w:val="en-US" w:eastAsia="zh-CN"/>
                    </w:rPr>
                    <w:fldChar w:fldCharType="separate"/>
                  </w:r>
                  <w:r>
                    <w:rPr>
                      <w:rFonts w:hint="eastAsia"/>
                      <w:b w:val="0"/>
                      <w:bCs w:val="0"/>
                      <w:color w:val="auto"/>
                      <w:sz w:val="21"/>
                      <w:szCs w:val="21"/>
                      <w:lang w:val="en-US" w:eastAsia="zh-CN"/>
                    </w:rPr>
                    <w:t>②</w:t>
                  </w:r>
                  <w:r>
                    <w:rPr>
                      <w:rFonts w:hint="eastAsia"/>
                      <w:b w:val="0"/>
                      <w:bCs w:val="0"/>
                      <w:color w:val="auto"/>
                      <w:sz w:val="21"/>
                      <w:szCs w:val="21"/>
                      <w:lang w:val="en-US" w:eastAsia="zh-CN"/>
                    </w:rPr>
                    <w:fldChar w:fldCharType="end"/>
                  </w:r>
                  <w:r>
                    <w:rPr>
                      <w:rFonts w:hint="eastAsia"/>
                      <w:b w:val="0"/>
                      <w:bCs w:val="0"/>
                      <w:color w:val="auto"/>
                      <w:sz w:val="21"/>
                      <w:szCs w:val="21"/>
                      <w:lang w:val="en-US" w:eastAsia="zh-CN"/>
                    </w:rPr>
                    <w:t>制备与成型车间外不应有可见粉尘外逸。</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项目生产加工厂房设置厂房，四面围挡；项目破碎机、筛分机设置于生产加工厂房内，破碎筛分粉尘设置集气罩+布袋除尘器</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507"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其他要求</w:t>
                  </w:r>
                </w:p>
              </w:tc>
              <w:tc>
                <w:tcPr>
                  <w:tcW w:w="4053"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厂区道路应硬化。道路采取清扫、洒水等措施，保持清洁。</w:t>
                  </w:r>
                </w:p>
              </w:tc>
              <w:tc>
                <w:tcPr>
                  <w:tcW w:w="244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项目区道路使用压路机压平处理。对进厂道路以及厂区地面及时洒水降尘，保持道路清洁。</w:t>
                  </w:r>
                </w:p>
              </w:tc>
              <w:tc>
                <w:tcPr>
                  <w:tcW w:w="989" w:type="dxa"/>
                  <w:tcMar>
                    <w:top w:w="0" w:type="dxa"/>
                    <w:left w:w="57" w:type="dxa"/>
                    <w:bottom w:w="0" w:type="dxa"/>
                    <w:right w:w="57" w:type="dxa"/>
                  </w:tcMar>
                  <w:vAlign w:val="center"/>
                </w:tcPr>
                <w:p>
                  <w:pPr>
                    <w:pStyle w:val="4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是</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s="Times New Roman"/>
                <w:b w:val="0"/>
                <w:bCs/>
                <w:color w:val="auto"/>
                <w:sz w:val="24"/>
                <w:szCs w:val="24"/>
                <w:lang w:val="en-US" w:eastAsia="zh-CN"/>
              </w:rPr>
              <w:t>本项目生产过程中产生的废气主要为颗粒物，采用湿法作业进行处理，项目采用《</w:t>
            </w:r>
            <w:r>
              <w:rPr>
                <w:rFonts w:hint="eastAsia"/>
                <w:color w:val="auto"/>
                <w:sz w:val="24"/>
                <w:szCs w:val="24"/>
                <w:lang w:val="en-US" w:eastAsia="zh-CN"/>
              </w:rPr>
              <w:t>排污许可证申请与核发技术规范陶瓷砖瓦工业》</w:t>
            </w:r>
            <w:r>
              <w:rPr>
                <w:rFonts w:hint="default" w:ascii="Times New Roman" w:hAnsi="Times New Roman" w:eastAsia="宋体" w:cs="Times New Roman"/>
                <w:color w:val="auto"/>
                <w:sz w:val="24"/>
                <w:szCs w:val="24"/>
                <w:lang w:val="en-US" w:eastAsia="zh-CN"/>
              </w:rPr>
              <w:t>（HJ954-2018）</w:t>
            </w:r>
            <w:r>
              <w:rPr>
                <w:rFonts w:hint="eastAsia"/>
                <w:color w:val="auto"/>
                <w:sz w:val="24"/>
                <w:szCs w:val="24"/>
                <w:lang w:val="en-US" w:eastAsia="zh-CN"/>
              </w:rPr>
              <w:t>推荐的“可行技术”，能最大限度降低颗粒物影响，因此，项目采用的废气处理设施是有效可行的。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val="0"/>
                <w:color w:val="auto"/>
                <w:sz w:val="24"/>
                <w:lang w:val="en-US" w:eastAsia="zh-CN"/>
              </w:rPr>
            </w:pPr>
            <w:r>
              <w:rPr>
                <w:rFonts w:hint="eastAsia" w:ascii="Times New Roman" w:hAnsi="Times New Roman" w:cs="Times New Roman"/>
                <w:b/>
                <w:bCs w:val="0"/>
                <w:color w:val="auto"/>
                <w:sz w:val="24"/>
                <w:lang w:val="en-US" w:eastAsia="zh-CN"/>
              </w:rPr>
              <w:t>4、</w:t>
            </w:r>
            <w:r>
              <w:rPr>
                <w:rFonts w:hint="default" w:ascii="Times New Roman" w:hAnsi="Times New Roman" w:cs="Times New Roman"/>
                <w:b/>
                <w:bCs w:val="0"/>
                <w:color w:val="auto"/>
                <w:sz w:val="24"/>
                <w:lang w:val="en-US" w:eastAsia="zh-CN"/>
              </w:rPr>
              <w:t>厂界达标可行性分析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pacing w:val="0"/>
                <w:kern w:val="21"/>
                <w:sz w:val="24"/>
                <w:szCs w:val="24"/>
                <w:lang w:val="en-US" w:eastAsia="zh-CN" w:bidi="ar-SA"/>
              </w:rPr>
            </w:pPr>
            <w:r>
              <w:rPr>
                <w:rFonts w:hint="eastAsia" w:ascii="Times New Roman" w:hAnsi="Times New Roman" w:cs="Times New Roman"/>
                <w:color w:val="auto"/>
                <w:spacing w:val="0"/>
                <w:kern w:val="21"/>
                <w:sz w:val="24"/>
                <w:szCs w:val="24"/>
                <w:lang w:val="en-US" w:eastAsia="zh-CN" w:bidi="ar-SA"/>
              </w:rPr>
              <w:t>（1）正常排放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color w:val="auto"/>
                <w:spacing w:val="0"/>
                <w:kern w:val="21"/>
                <w:sz w:val="24"/>
                <w:szCs w:val="24"/>
                <w:lang w:val="en-US" w:eastAsia="zh-CN" w:bidi="ar-SA"/>
              </w:rPr>
            </w:pPr>
            <w:r>
              <w:rPr>
                <w:rFonts w:hint="default" w:ascii="Times New Roman" w:hAnsi="Times New Roman" w:cs="Times New Roman" w:eastAsiaTheme="minorEastAsia"/>
                <w:color w:val="auto"/>
                <w:spacing w:val="0"/>
                <w:kern w:val="21"/>
                <w:sz w:val="24"/>
                <w:szCs w:val="24"/>
                <w:lang w:val="en-US" w:eastAsia="zh-CN" w:bidi="ar-SA"/>
              </w:rPr>
              <w:t>项目运营期</w:t>
            </w:r>
            <w:r>
              <w:rPr>
                <w:rFonts w:hint="eastAsia" w:ascii="Times New Roman" w:hAnsi="Times New Roman" w:cs="Times New Roman" w:eastAsiaTheme="minorEastAsia"/>
                <w:color w:val="auto"/>
                <w:spacing w:val="0"/>
                <w:kern w:val="21"/>
                <w:sz w:val="24"/>
                <w:szCs w:val="24"/>
                <w:lang w:val="en-US" w:eastAsia="zh-CN" w:bidi="ar-SA"/>
              </w:rPr>
              <w:t>无组织</w:t>
            </w:r>
            <w:r>
              <w:rPr>
                <w:rFonts w:hint="default" w:ascii="Times New Roman" w:hAnsi="Times New Roman" w:cs="Times New Roman" w:eastAsiaTheme="minorEastAsia"/>
                <w:color w:val="auto"/>
                <w:spacing w:val="0"/>
                <w:kern w:val="21"/>
                <w:sz w:val="24"/>
                <w:szCs w:val="24"/>
                <w:lang w:val="en-US" w:eastAsia="zh-CN" w:bidi="ar-SA"/>
              </w:rPr>
              <w:t>废气主要为</w:t>
            </w:r>
            <w:r>
              <w:rPr>
                <w:rFonts w:hint="eastAsia" w:ascii="Times New Roman" w:hAnsi="Times New Roman" w:cs="Times New Roman"/>
                <w:color w:val="auto"/>
                <w:spacing w:val="0"/>
                <w:kern w:val="21"/>
                <w:sz w:val="24"/>
                <w:szCs w:val="24"/>
                <w:lang w:val="en-US" w:eastAsia="zh-CN" w:bidi="ar-SA"/>
              </w:rPr>
              <w:t>颗粒物</w:t>
            </w:r>
            <w:r>
              <w:rPr>
                <w:rFonts w:hint="default" w:ascii="Times New Roman" w:hAnsi="Times New Roman" w:cs="Times New Roman" w:eastAsiaTheme="minorEastAsia"/>
                <w:color w:val="auto"/>
                <w:spacing w:val="0"/>
                <w:kern w:val="21"/>
                <w:sz w:val="24"/>
                <w:szCs w:val="24"/>
                <w:lang w:val="en-US" w:eastAsia="zh-CN" w:bidi="ar-SA"/>
              </w:rPr>
              <w:t>。本项目</w:t>
            </w:r>
            <w:r>
              <w:rPr>
                <w:rFonts w:hint="eastAsia" w:ascii="Times New Roman" w:hAnsi="Times New Roman" w:cs="Times New Roman" w:eastAsiaTheme="minorEastAsia"/>
                <w:color w:val="auto"/>
                <w:spacing w:val="0"/>
                <w:kern w:val="21"/>
                <w:sz w:val="24"/>
                <w:szCs w:val="24"/>
                <w:lang w:val="en-US" w:eastAsia="zh-CN" w:bidi="ar-SA"/>
              </w:rPr>
              <w:t>采</w:t>
            </w:r>
            <w:r>
              <w:rPr>
                <w:rFonts w:hint="default" w:ascii="Times New Roman" w:hAnsi="Times New Roman" w:cs="Times New Roman" w:eastAsiaTheme="minorEastAsia"/>
                <w:color w:val="auto"/>
                <w:spacing w:val="0"/>
                <w:kern w:val="21"/>
                <w:sz w:val="24"/>
                <w:szCs w:val="24"/>
                <w:lang w:val="en-US" w:eastAsia="zh-CN" w:bidi="ar-SA"/>
              </w:rPr>
              <w:t>用估算模式进行预测，故将整个</w:t>
            </w:r>
            <w:r>
              <w:rPr>
                <w:rFonts w:hint="eastAsia"/>
                <w:sz w:val="24"/>
                <w:szCs w:val="24"/>
                <w:lang w:val="en-US" w:eastAsia="zh-CN"/>
              </w:rPr>
              <w:t>车间</w:t>
            </w:r>
            <w:r>
              <w:rPr>
                <w:rFonts w:hint="default" w:ascii="Times New Roman" w:hAnsi="Times New Roman" w:cs="Times New Roman" w:eastAsiaTheme="minorEastAsia"/>
                <w:color w:val="auto"/>
                <w:spacing w:val="0"/>
                <w:kern w:val="21"/>
                <w:sz w:val="24"/>
                <w:szCs w:val="24"/>
                <w:lang w:val="en-US" w:eastAsia="zh-CN" w:bidi="ar-SA"/>
              </w:rPr>
              <w:t>作为一个面源，项目污染源及估算模式参数取值情况</w:t>
            </w:r>
            <w:r>
              <w:rPr>
                <w:rFonts w:hint="eastAsia" w:ascii="Times New Roman" w:hAnsi="Times New Roman" w:cs="Times New Roman" w:eastAsiaTheme="minorEastAsia"/>
                <w:color w:val="auto"/>
                <w:spacing w:val="0"/>
                <w:kern w:val="21"/>
                <w:sz w:val="24"/>
                <w:szCs w:val="24"/>
                <w:lang w:val="en-US" w:eastAsia="zh-CN" w:bidi="ar-SA"/>
              </w:rPr>
              <w:t>。</w:t>
            </w:r>
          </w:p>
          <w:p>
            <w:pPr>
              <w:keepNext w:val="0"/>
              <w:keepLines w:val="0"/>
              <w:widowControl/>
              <w:suppressLineNumbers w:val="0"/>
              <w:spacing w:before="0" w:beforeAutospacing="0" w:after="0" w:afterAutospacing="0"/>
              <w:ind w:left="0" w:right="0"/>
              <w:jc w:val="center"/>
              <w:rPr>
                <w:rFonts w:hint="default"/>
                <w:b/>
                <w:bCs/>
                <w:color w:val="auto"/>
                <w:sz w:val="21"/>
                <w:szCs w:val="21"/>
              </w:rPr>
            </w:pPr>
            <w:r>
              <w:rPr>
                <w:rFonts w:hint="eastAsia" w:ascii="Times New Roman" w:hAnsi="Times New Roman"/>
                <w:b/>
                <w:bCs/>
                <w:color w:val="auto"/>
                <w:sz w:val="21"/>
                <w:szCs w:val="21"/>
              </w:rPr>
              <w:t>表</w:t>
            </w:r>
            <w:r>
              <w:rPr>
                <w:rFonts w:hint="eastAsia" w:ascii="Times New Roman" w:hAnsi="Times New Roman"/>
                <w:b/>
                <w:bCs/>
                <w:color w:val="auto"/>
                <w:sz w:val="21"/>
                <w:szCs w:val="21"/>
                <w:lang w:val="en-US" w:eastAsia="zh-CN"/>
              </w:rPr>
              <w:t>4-5</w:t>
            </w:r>
            <w:r>
              <w:rPr>
                <w:rFonts w:hint="eastAsia" w:ascii="宋体" w:hAnsi="宋体" w:eastAsia="宋体" w:cs="宋体"/>
                <w:b/>
                <w:bCs/>
                <w:color w:val="auto"/>
                <w:kern w:val="0"/>
                <w:sz w:val="21"/>
                <w:szCs w:val="21"/>
                <w:lang w:val="en-US" w:eastAsia="zh-CN" w:bidi="ar"/>
              </w:rPr>
              <w:t>项目主要废气污染源参数一览表（矩形面源）</w:t>
            </w:r>
          </w:p>
          <w:tbl>
            <w:tblPr>
              <w:tblStyle w:val="26"/>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2"/>
              <w:gridCol w:w="1360"/>
              <w:gridCol w:w="1360"/>
              <w:gridCol w:w="1103"/>
              <w:gridCol w:w="981"/>
              <w:gridCol w:w="981"/>
              <w:gridCol w:w="981"/>
              <w:gridCol w:w="12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27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坐标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w:t>
                  </w:r>
                  <w:r>
                    <w:rPr>
                      <w:rFonts w:hint="eastAsia" w:ascii="Times New Roman" w:hAnsi="Times New Roman" w:eastAsia="宋体" w:cs="Times New Roman"/>
                      <w:b w:val="0"/>
                      <w:sz w:val="21"/>
                      <w:szCs w:val="21"/>
                      <w:lang w:eastAsia="zh-CN"/>
                    </w:rPr>
                    <w:t>）</w:t>
                  </w:r>
                </w:p>
              </w:tc>
              <w:tc>
                <w:tcPr>
                  <w:tcW w:w="11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海拔高度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污染物排放速率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kg/h</w:t>
                  </w:r>
                  <w:r>
                    <w:rPr>
                      <w:rFonts w:hint="eastAsia" w:ascii="Times New Roman" w:hAnsi="Times New Roman" w:eastAsia="宋体" w:cs="Times New Roman"/>
                      <w:b w:val="0"/>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经度</w:t>
                  </w: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纬度</w:t>
                  </w:r>
                </w:p>
              </w:tc>
              <w:tc>
                <w:tcPr>
                  <w:tcW w:w="11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长度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宽度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有效高度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eastAsia="宋体" w:cs="Times New Roman"/>
                      <w:b w:val="0"/>
                      <w:sz w:val="21"/>
                      <w:szCs w:val="21"/>
                      <w:lang w:val="en-US" w:eastAsia="zh-CN"/>
                    </w:rPr>
                    <w:t>矩形面源</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99.397374</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26.031671</w:t>
                  </w:r>
                </w:p>
              </w:tc>
              <w:tc>
                <w:tcPr>
                  <w:tcW w:w="110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1824.00</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63.79</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33.23</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10.00</w:t>
                  </w:r>
                </w:p>
              </w:tc>
              <w:tc>
                <w:tcPr>
                  <w:tcW w:w="1239"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0.0537</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pacing w:val="0"/>
                <w:kern w:val="21"/>
                <w:sz w:val="24"/>
                <w:szCs w:val="24"/>
                <w:lang w:val="en-US" w:eastAsia="zh-CN" w:bidi="ar-SA"/>
              </w:rPr>
            </w:pPr>
            <w:r>
              <w:rPr>
                <w:rFonts w:hint="eastAsia" w:ascii="Times New Roman" w:hAnsi="Times New Roman" w:cs="Times New Roman" w:eastAsiaTheme="minorEastAsia"/>
                <w:color w:val="auto"/>
                <w:spacing w:val="0"/>
                <w:kern w:val="21"/>
                <w:sz w:val="24"/>
                <w:szCs w:val="24"/>
                <w:lang w:val="en-US" w:eastAsia="zh-CN" w:bidi="ar-SA"/>
              </w:rPr>
              <w:t>本次环评对无组织废气排放时的厂界浓度进行预测，预测结果见表</w:t>
            </w:r>
            <w:r>
              <w:rPr>
                <w:rFonts w:hint="default" w:ascii="Times New Roman" w:hAnsi="Times New Roman" w:cs="Times New Roman" w:eastAsiaTheme="minorEastAsia"/>
                <w:color w:val="auto"/>
                <w:spacing w:val="0"/>
                <w:kern w:val="21"/>
                <w:sz w:val="24"/>
                <w:szCs w:val="24"/>
                <w:lang w:val="en-US" w:eastAsia="zh-CN" w:bidi="ar-SA"/>
              </w:rPr>
              <w:t>4-</w:t>
            </w:r>
            <w:r>
              <w:rPr>
                <w:rFonts w:hint="eastAsia" w:ascii="Times New Roman" w:hAnsi="Times New Roman" w:cs="Times New Roman"/>
                <w:color w:val="auto"/>
                <w:spacing w:val="0"/>
                <w:kern w:val="21"/>
                <w:sz w:val="24"/>
                <w:szCs w:val="24"/>
                <w:lang w:val="en-US" w:eastAsia="zh-CN" w:bidi="ar-SA"/>
              </w:rPr>
              <w:t>6</w:t>
            </w:r>
            <w:r>
              <w:rPr>
                <w:rFonts w:hint="eastAsia" w:ascii="Times New Roman" w:hAnsi="Times New Roman" w:cs="Times New Roman" w:eastAsiaTheme="minorEastAsia"/>
                <w:color w:val="auto"/>
                <w:spacing w:val="0"/>
                <w:kern w:val="21"/>
                <w:sz w:val="24"/>
                <w:szCs w:val="24"/>
                <w:lang w:val="en-US" w:eastAsia="zh-CN" w:bidi="ar-SA"/>
              </w:rPr>
              <w:t>。</w:t>
            </w:r>
          </w:p>
          <w:p>
            <w:pPr>
              <w:keepNext w:val="0"/>
              <w:keepLines w:val="0"/>
              <w:widowControl/>
              <w:suppressLineNumbers w:val="0"/>
              <w:spacing w:before="0" w:beforeAutospacing="0" w:after="0" w:afterAutospacing="0"/>
              <w:ind w:left="0" w:right="0"/>
              <w:jc w:val="center"/>
              <w:rPr>
                <w:rFonts w:hint="default"/>
                <w:color w:val="auto"/>
                <w:sz w:val="21"/>
                <w:szCs w:val="21"/>
              </w:rPr>
            </w:pPr>
            <w:r>
              <w:rPr>
                <w:rFonts w:hint="default" w:ascii="Times New Roman"/>
                <w:b/>
                <w:color w:val="auto"/>
                <w:kern w:val="2"/>
                <w:sz w:val="21"/>
                <w:szCs w:val="21"/>
              </w:rPr>
              <w:t>表</w:t>
            </w:r>
            <w:r>
              <w:rPr>
                <w:rFonts w:hint="eastAsia" w:ascii="Times New Roman" w:hAnsi="Times New Roman"/>
                <w:b/>
                <w:color w:val="auto"/>
                <w:kern w:val="2"/>
                <w:sz w:val="21"/>
                <w:szCs w:val="21"/>
                <w:lang w:val="en-US" w:eastAsia="zh-CN"/>
              </w:rPr>
              <w:t>4-6</w:t>
            </w:r>
            <w:r>
              <w:rPr>
                <w:rFonts w:hint="eastAsia" w:ascii="宋体" w:hAnsi="宋体" w:eastAsia="宋体" w:cs="宋体"/>
                <w:b/>
                <w:bCs/>
                <w:color w:val="auto"/>
                <w:kern w:val="0"/>
                <w:sz w:val="21"/>
                <w:szCs w:val="21"/>
                <w:lang w:val="en-US" w:eastAsia="zh-CN" w:bidi="ar"/>
              </w:rPr>
              <w:t>无组织粉尘影响预测结果一览表</w:t>
            </w:r>
          </w:p>
          <w:tbl>
            <w:tblPr>
              <w:tblStyle w:val="2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7"/>
              <w:gridCol w:w="1209"/>
              <w:gridCol w:w="1284"/>
              <w:gridCol w:w="1206"/>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预测点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污染源名称</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污染</w:t>
                  </w:r>
                  <w:r>
                    <w:rPr>
                      <w:rFonts w:hint="default" w:ascii="Times New Roman" w:hAnsi="Times New Roman" w:cs="Times New Roman"/>
                      <w:b/>
                      <w:color w:val="auto"/>
                      <w:kern w:val="2"/>
                      <w:sz w:val="21"/>
                      <w:szCs w:val="21"/>
                    </w:rPr>
                    <w:t>因子</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预测浓度</w:t>
                  </w:r>
                  <w:r>
                    <w:rPr>
                      <w:rFonts w:hint="default" w:ascii="Times New Roman" w:hAnsi="Times New Roman" w:cs="Times New Roman"/>
                      <w:b/>
                      <w:color w:val="auto"/>
                      <w:kern w:val="2"/>
                      <w:sz w:val="21"/>
                      <w:szCs w:val="21"/>
                      <w:lang w:eastAsia="zh-CN"/>
                    </w:rPr>
                    <w:t>（</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b/>
                      <w:color w:val="auto"/>
                      <w:kern w:val="2"/>
                      <w:sz w:val="21"/>
                      <w:szCs w:val="21"/>
                      <w:lang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出现点位/距离(m)</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执行标准</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kern w:val="2"/>
                      <w:sz w:val="21"/>
                      <w:szCs w:val="21"/>
                      <w:lang w:val="en-US" w:eastAsia="zh-CN"/>
                    </w:rPr>
                  </w:pPr>
                  <w:r>
                    <w:rPr>
                      <w:rFonts w:hint="default" w:ascii="Times New Roman" w:hAnsi="Times New Roman" w:cs="Times New Roman"/>
                      <w:b/>
                      <w:color w:val="auto"/>
                      <w:kern w:val="2"/>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厂界浓度最大值</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49.9550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南厂界</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《大气污染物综合排放标准》无组织监控浓度限值(1mg/m)</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厂界外浓度最大点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50.4800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69m</w:t>
                  </w:r>
                </w:p>
              </w:tc>
              <w:tc>
                <w:tcPr>
                  <w:tcW w:w="120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环境空气质量标准类区(900</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color w:val="auto"/>
                      <w:sz w:val="21"/>
                      <w:szCs w:val="21"/>
                      <w:lang w:val="en-US"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农户养殖圈</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33.0870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30m</w:t>
                  </w:r>
                </w:p>
              </w:tc>
              <w:tc>
                <w:tcPr>
                  <w:tcW w:w="120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七登村</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sz w:val="21"/>
                      <w:szCs w:val="21"/>
                    </w:rPr>
                    <w:t>45.4630</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86m</w:t>
                  </w:r>
                </w:p>
              </w:tc>
              <w:tc>
                <w:tcPr>
                  <w:tcW w:w="12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根据上表预测，项目</w:t>
            </w:r>
            <w:r>
              <w:rPr>
                <w:rFonts w:hint="eastAsia" w:ascii="Times New Roman" w:hAnsi="Times New Roman" w:eastAsia="宋体" w:cs="Times New Roman"/>
                <w:color w:val="auto"/>
                <w:kern w:val="0"/>
                <w:sz w:val="24"/>
                <w:szCs w:val="24"/>
                <w:lang w:val="en-US" w:eastAsia="zh-CN" w:bidi="ar"/>
              </w:rPr>
              <w:t>厂界</w:t>
            </w:r>
            <w:r>
              <w:rPr>
                <w:rFonts w:hint="default" w:ascii="Times New Roman" w:hAnsi="Times New Roman" w:eastAsia="宋体" w:cs="Times New Roman"/>
                <w:color w:val="auto"/>
                <w:kern w:val="0"/>
                <w:sz w:val="24"/>
                <w:szCs w:val="24"/>
                <w:lang w:val="en-US" w:eastAsia="zh-CN" w:bidi="ar"/>
              </w:rPr>
              <w:t>颗粒物无组织排放满足</w:t>
            </w:r>
            <w:r>
              <w:rPr>
                <w:rFonts w:hint="default" w:ascii="Times New Roman" w:hAnsi="Times New Roman" w:cs="Times New Roman"/>
                <w:sz w:val="24"/>
                <w:lang w:bidi="ar"/>
              </w:rPr>
              <w:t>《大气污染物综合排放标准》（GB16297-1996）</w:t>
            </w:r>
            <w:r>
              <w:rPr>
                <w:rFonts w:hint="default" w:ascii="Times New Roman" w:hAnsi="Times New Roman" w:eastAsia="宋体" w:cs="Times New Roman"/>
                <w:color w:val="auto"/>
                <w:kern w:val="0"/>
                <w:sz w:val="24"/>
                <w:szCs w:val="24"/>
                <w:lang w:val="en-US" w:eastAsia="zh-CN" w:bidi="ar"/>
              </w:rPr>
              <w:t>无组织排放标准，无组织厂界达标排放</w:t>
            </w:r>
            <w:r>
              <w:rPr>
                <w:rFonts w:hint="eastAsia" w:ascii="Times New Roman" w:hAnsi="Times New Roman" w:eastAsia="宋体" w:cs="Times New Roman"/>
                <w:color w:val="auto"/>
                <w:kern w:val="0"/>
                <w:sz w:val="24"/>
                <w:szCs w:val="24"/>
                <w:lang w:val="en-US" w:eastAsia="zh-CN" w:bidi="ar"/>
              </w:rPr>
              <w:t>，其他区域</w:t>
            </w:r>
            <w:r>
              <w:rPr>
                <w:rFonts w:hint="default" w:ascii="Times New Roman" w:hAnsi="Times New Roman" w:eastAsia="宋体" w:cs="Times New Roman"/>
                <w:color w:val="auto"/>
                <w:kern w:val="0"/>
                <w:sz w:val="24"/>
                <w:szCs w:val="24"/>
                <w:lang w:val="en-US" w:eastAsia="zh-CN" w:bidi="ar"/>
              </w:rPr>
              <w:t>颗粒物无组织排放满足</w:t>
            </w:r>
            <w:r>
              <w:rPr>
                <w:rFonts w:hint="default" w:ascii="Times New Roman" w:hAnsi="Times New Roman" w:eastAsia="宋体" w:cs="Times New Roman"/>
                <w:color w:val="auto"/>
                <w:kern w:val="2"/>
                <w:sz w:val="24"/>
                <w:szCs w:val="24"/>
                <w:lang w:val="en-US" w:eastAsia="zh-CN" w:bidi="ar-SA"/>
              </w:rPr>
              <w:t>《环境空气质量标准》（GB3095-2012）</w:t>
            </w:r>
            <w:r>
              <w:rPr>
                <w:rFonts w:hint="eastAsia" w:ascii="Times New Roman" w:hAnsi="Times New Roman" w:eastAsia="宋体" w:cs="Times New Roman"/>
                <w:color w:val="auto"/>
                <w:kern w:val="0"/>
                <w:sz w:val="24"/>
                <w:szCs w:val="24"/>
                <w:lang w:val="en-US" w:eastAsia="zh-CN" w:bidi="ar"/>
              </w:rPr>
              <w:t>二级</w:t>
            </w:r>
            <w:r>
              <w:rPr>
                <w:rFonts w:hint="default" w:ascii="Times New Roman" w:hAnsi="Times New Roman" w:eastAsia="宋体" w:cs="Times New Roman"/>
                <w:color w:val="auto"/>
                <w:kern w:val="0"/>
                <w:sz w:val="24"/>
                <w:szCs w:val="24"/>
                <w:lang w:val="en-US" w:eastAsia="zh-CN" w:bidi="ar"/>
              </w:rPr>
              <w:t>标准</w:t>
            </w:r>
            <w:r>
              <w:rPr>
                <w:rFonts w:hint="eastAsia" w:ascii="Times New Roman" w:hAnsi="Times New Roman" w:eastAsia="宋体" w:cs="Times New Roman"/>
                <w:color w:val="auto"/>
                <w:kern w:val="0"/>
                <w:sz w:val="24"/>
                <w:szCs w:val="24"/>
                <w:lang w:val="en-US" w:eastAsia="zh-CN" w:bidi="ar"/>
              </w:rPr>
              <w:t>。</w:t>
            </w:r>
          </w:p>
          <w:p>
            <w:pPr>
              <w:bidi w:val="0"/>
              <w:ind w:firstLine="422" w:firstLineChars="200"/>
              <w:rPr>
                <w:rFonts w:hint="default"/>
                <w:lang w:val="en-US" w:eastAsia="zh-CN"/>
              </w:rPr>
            </w:pPr>
            <w:r>
              <w:rPr>
                <w:rFonts w:hint="eastAsia" w:ascii="Times New Roman" w:hAnsi="Times New Roman" w:eastAsia="宋体" w:cs="Times New Roman"/>
                <w:b/>
                <w:bCs/>
                <w:color w:val="auto"/>
                <w:szCs w:val="24"/>
                <w:lang w:val="en-US" w:eastAsia="zh-CN"/>
              </w:rPr>
              <w:t>（2）非正常排放</w:t>
            </w:r>
          </w:p>
          <w:p>
            <w:pPr>
              <w:tabs>
                <w:tab w:val="left" w:pos="1126"/>
              </w:tabs>
              <w:spacing w:line="360" w:lineRule="auto"/>
              <w:ind w:firstLine="480"/>
              <w:rPr>
                <w:rFonts w:hint="default" w:ascii="Times New Roman" w:hAnsi="Times New Roman" w:cs="Times New Roman"/>
                <w:sz w:val="24"/>
              </w:rPr>
            </w:pPr>
            <w:r>
              <w:rPr>
                <w:rFonts w:hint="default" w:ascii="Times New Roman" w:hAnsi="Times New Roman" w:cs="Times New Roman"/>
                <w:sz w:val="24"/>
              </w:rPr>
              <w:t>为了解非正常情况下，项目运营对周围环境的影响及达标情况。环评对非正常情况下的废气产排污情况及达标可行性进行分析。</w:t>
            </w:r>
          </w:p>
          <w:p>
            <w:pPr>
              <w:tabs>
                <w:tab w:val="left" w:pos="1126"/>
              </w:tabs>
              <w:spacing w:line="360" w:lineRule="auto"/>
              <w:ind w:firstLine="480"/>
              <w:rPr>
                <w:rFonts w:hint="default" w:ascii="Times New Roman" w:hAnsi="Times New Roman" w:cs="Times New Roman"/>
                <w:sz w:val="24"/>
              </w:rPr>
            </w:pPr>
            <w:r>
              <w:rPr>
                <w:rFonts w:hint="default" w:ascii="Times New Roman" w:hAnsi="Times New Roman" w:cs="Times New Roman"/>
                <w:sz w:val="24"/>
              </w:rPr>
              <w:t>根据《污染源源强核算技术指南准则》（HJ848-2018），非正常工况是指生产设施非正常工况或污染防治（控制）设施非正常状况，其中生产设施非正常工况指开停炉（机）、设备检修、工艺设备运转异常等工况，污染防治（控制）设施非正常工况指达不到应有治理效率或同步运转率等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sz w:val="24"/>
              </w:rPr>
              <w:t>本项目非正常工况排放主要为废气治理设施达不到应有治理效率或同步运转率的情况下的废气排放。本项目废气治理设施主要涉及喷雾装置以及布袋除尘设施。环评假定，在非正常情况下，洒水喷雾装置以及布袋除尘设施故障，未实施洒水喷淋以及布袋除尘设施除尘（治理效率为</w:t>
            </w:r>
            <w:r>
              <w:rPr>
                <w:rFonts w:hint="default" w:ascii="Times New Roman" w:hAnsi="Times New Roman" w:cs="Times New Roman"/>
                <w:sz w:val="24"/>
                <w:lang w:val="en-US" w:eastAsia="zh-CN"/>
              </w:rPr>
              <w:t>0</w:t>
            </w:r>
            <w:r>
              <w:rPr>
                <w:rFonts w:hint="default" w:ascii="Times New Roman" w:hAnsi="Times New Roman" w:cs="Times New Roman"/>
                <w:sz w:val="24"/>
              </w:rPr>
              <w:t>）。</w:t>
            </w:r>
            <w:r>
              <w:rPr>
                <w:rFonts w:hint="default" w:ascii="Times New Roman" w:hAnsi="Times New Roman" w:cs="Times New Roman"/>
                <w:bCs/>
                <w:sz w:val="24"/>
              </w:rPr>
              <w:t>该类事故排放时间一般可在20～30min内得到控制，以最不利情况考虑污染源以非正常排放1h计。则非正常情况下废气排放情况如下表4-</w:t>
            </w:r>
            <w:r>
              <w:rPr>
                <w:rFonts w:hint="eastAsia" w:ascii="Times New Roman" w:hAnsi="Times New Roman" w:cs="Times New Roman"/>
                <w:bCs/>
                <w:sz w:val="24"/>
                <w:lang w:val="en-US" w:eastAsia="zh-CN"/>
              </w:rPr>
              <w:t>7</w:t>
            </w:r>
            <w:r>
              <w:rPr>
                <w:rFonts w:hint="default" w:ascii="Times New Roman" w:hAnsi="Times New Roman" w:cs="Times New Roman"/>
                <w:bCs/>
                <w:sz w:val="24"/>
              </w:rPr>
              <w:t>所示：</w:t>
            </w:r>
          </w:p>
          <w:p>
            <w:pPr>
              <w:keepNext w:val="0"/>
              <w:keepLines w:val="0"/>
              <w:pageBreakBefore w:val="0"/>
              <w:widowControl w:val="0"/>
              <w:tabs>
                <w:tab w:val="left" w:pos="1126"/>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表4-</w:t>
            </w:r>
            <w:r>
              <w:rPr>
                <w:rFonts w:hint="eastAsia" w:ascii="Times New Roman" w:hAnsi="Times New Roman" w:cs="Times New Roman"/>
                <w:b/>
                <w:bCs/>
                <w:sz w:val="21"/>
                <w:szCs w:val="21"/>
                <w:lang w:val="en-US" w:eastAsia="zh-CN"/>
              </w:rPr>
              <w:t>7</w:t>
            </w:r>
            <w:r>
              <w:rPr>
                <w:rFonts w:hint="default" w:ascii="Times New Roman" w:hAnsi="Times New Roman" w:cs="Times New Roman"/>
                <w:b/>
                <w:bCs/>
                <w:sz w:val="21"/>
                <w:szCs w:val="21"/>
              </w:rPr>
              <w:t>非正常排放污染源强分析</w:t>
            </w:r>
          </w:p>
          <w:tbl>
            <w:tblPr>
              <w:tblStyle w:val="26"/>
              <w:tblW w:w="850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92"/>
              <w:gridCol w:w="788"/>
              <w:gridCol w:w="701"/>
              <w:gridCol w:w="2173"/>
              <w:gridCol w:w="700"/>
              <w:gridCol w:w="800"/>
              <w:gridCol w:w="650"/>
              <w:gridCol w:w="697"/>
              <w:gridCol w:w="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工序</w:t>
                  </w:r>
                </w:p>
              </w:tc>
              <w:tc>
                <w:tcPr>
                  <w:tcW w:w="492"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排放方式</w:t>
                  </w: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产生量</w:t>
                  </w:r>
                </w:p>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t/a</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处置</w:t>
                  </w:r>
                </w:p>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工艺</w:t>
                  </w:r>
                </w:p>
              </w:tc>
              <w:tc>
                <w:tcPr>
                  <w:tcW w:w="7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处理效率%</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排放速率kg/h</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年发生频次/次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单次持续时间/h</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装卸粉尘</w:t>
                  </w:r>
                </w:p>
              </w:tc>
              <w:tc>
                <w:tcPr>
                  <w:tcW w:w="492"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无组织排放</w:t>
                  </w: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22.47</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原料仓库、成品仓库设置顶棚、四面围挡（围挡控制措施控制效率为9</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%)，物料装卸时利用高压喷雾装置降尘(洒水控制措施控制效率为74%)。</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（洒水降尘故障）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0.075</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堆场扬尘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0.133</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项目原料仓库、成品仓库设置顶棚、四面围挡，预留车辆进出口并设置喷雾装置降尘控制措施控制效率为</w:t>
                  </w:r>
                  <w:r>
                    <w:rPr>
                      <w:rFonts w:hint="default" w:ascii="Times New Roman" w:hAnsi="Times New Roman" w:cs="Times New Roman"/>
                      <w:sz w:val="21"/>
                      <w:szCs w:val="21"/>
                      <w:lang w:val="en-US" w:eastAsia="zh-CN"/>
                    </w:rPr>
                    <w:t>80</w:t>
                  </w:r>
                  <w:r>
                    <w:rPr>
                      <w:rFonts w:hint="default" w:ascii="Times New Roman" w:hAnsi="Times New Roman" w:cs="Times New Roman"/>
                      <w:sz w:val="21"/>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（洒水降尘故障）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0.00</w:t>
                  </w:r>
                  <w:r>
                    <w:rPr>
                      <w:rFonts w:hint="default" w:ascii="Times New Roman" w:hAnsi="Times New Roman" w:cs="Times New Roman"/>
                      <w:sz w:val="21"/>
                      <w:szCs w:val="21"/>
                      <w:lang w:val="en-US" w:eastAsia="zh-CN"/>
                    </w:rPr>
                    <w:t>9</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进料粉尘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066</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项目破碎机设置于生产加工厂房内，厂房设置顶棚，四面围挡，预留车辆进出口（半敞开式厂房粉尘控制效率为60%），且进料口设置高压喷雾装置（洒水控制措施控制效率为74%）。</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60（洒水降尘故障）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11</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破碎</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筛分</w:t>
                  </w:r>
                  <w:r>
                    <w:rPr>
                      <w:rFonts w:hint="default" w:ascii="Times New Roman" w:hAnsi="Times New Roman" w:cs="Times New Roman"/>
                      <w:sz w:val="21"/>
                      <w:szCs w:val="21"/>
                    </w:rPr>
                    <w:t>粉尘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189</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破碎机设置于生产加工厂房内（</w:t>
                  </w:r>
                  <w:r>
                    <w:rPr>
                      <w:rFonts w:hint="default" w:ascii="Times New Roman" w:hAnsi="Times New Roman" w:cs="Times New Roman"/>
                      <w:sz w:val="21"/>
                      <w:szCs w:val="21"/>
                      <w:lang w:val="en-US" w:eastAsia="zh-CN"/>
                    </w:rPr>
                    <w:t>密闭式</w:t>
                  </w:r>
                  <w:r>
                    <w:rPr>
                      <w:rFonts w:hint="default" w:ascii="Times New Roman" w:hAnsi="Times New Roman" w:cs="Times New Roman"/>
                      <w:sz w:val="21"/>
                      <w:szCs w:val="21"/>
                    </w:rPr>
                    <w:t>式厂房粉尘控制效率为</w:t>
                  </w:r>
                  <w:r>
                    <w:rPr>
                      <w:rFonts w:hint="default" w:ascii="Times New Roman" w:hAnsi="Times New Roman" w:cs="Times New Roman"/>
                      <w:sz w:val="21"/>
                      <w:szCs w:val="21"/>
                      <w:lang w:val="en-US" w:eastAsia="zh-CN"/>
                    </w:rPr>
                    <w:t>99</w:t>
                  </w:r>
                  <w:r>
                    <w:rPr>
                      <w:rFonts w:hint="default" w:ascii="Times New Roman" w:hAnsi="Times New Roman" w:cs="Times New Roman"/>
                      <w:sz w:val="21"/>
                      <w:szCs w:val="21"/>
                    </w:rPr>
                    <w:t>%），且破碎机出料口设置集气罩+布袋除尘器（袋式除尘的除尘效率为</w:t>
                  </w:r>
                  <w:r>
                    <w:rPr>
                      <w:rFonts w:hint="default" w:ascii="Times New Roman" w:hAnsi="Times New Roman" w:cs="Times New Roman"/>
                      <w:sz w:val="21"/>
                      <w:szCs w:val="21"/>
                      <w:lang w:val="en-US" w:eastAsia="zh-CN"/>
                    </w:rPr>
                    <w:t>99</w:t>
                  </w:r>
                  <w:r>
                    <w:rPr>
                      <w:rFonts w:hint="default" w:ascii="Times New Roman" w:hAnsi="Times New Roman" w:cs="Times New Roman"/>
                      <w:sz w:val="21"/>
                      <w:szCs w:val="21"/>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99</w:t>
                  </w:r>
                  <w:r>
                    <w:rPr>
                      <w:rFonts w:hint="default" w:ascii="Times New Roman" w:hAnsi="Times New Roman" w:cs="Times New Roman"/>
                      <w:sz w:val="21"/>
                      <w:szCs w:val="21"/>
                    </w:rPr>
                    <w:t>（布袋除尘故障）</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0.63</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3～4次</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停止生产，检修环保设施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传送带输送粉尘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215</w:t>
                  </w:r>
                </w:p>
              </w:tc>
              <w:tc>
                <w:tcPr>
                  <w:tcW w:w="2173"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项目传送带安装防尘罩等封闭设施。</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0.000</w:t>
                  </w:r>
                  <w:r>
                    <w:rPr>
                      <w:rFonts w:hint="default" w:ascii="Times New Roman" w:hAnsi="Times New Roman" w:cs="Times New Roman"/>
                      <w:sz w:val="21"/>
                      <w:szCs w:val="21"/>
                      <w:lang w:val="en-US" w:eastAsia="zh-CN"/>
                    </w:rPr>
                    <w:t>7</w:t>
                  </w:r>
                </w:p>
              </w:tc>
              <w:tc>
                <w:tcPr>
                  <w:tcW w:w="6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运输道路扬尘</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146</w:t>
                  </w:r>
                </w:p>
              </w:tc>
              <w:tc>
                <w:tcPr>
                  <w:tcW w:w="2173"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对进厂道路及厂区地面及时清扫及洒水降尘，保持道路清洁。</w:t>
                  </w:r>
                </w:p>
              </w:tc>
              <w:tc>
                <w:tcPr>
                  <w:tcW w:w="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08</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车辆尾气</w:t>
                  </w:r>
                </w:p>
              </w:tc>
              <w:tc>
                <w:tcPr>
                  <w:tcW w:w="49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CO、HC、NO</w:t>
                  </w:r>
                  <w:r>
                    <w:rPr>
                      <w:rFonts w:hint="default" w:ascii="Times New Roman" w:hAnsi="Times New Roman" w:cs="Times New Roman"/>
                      <w:sz w:val="21"/>
                      <w:szCs w:val="21"/>
                      <w:vertAlign w:val="subscript"/>
                    </w:rPr>
                    <w:t>X</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使用环保型车辆，自然稀释扩散。</w:t>
                  </w:r>
                </w:p>
              </w:tc>
              <w:tc>
                <w:tcPr>
                  <w:tcW w:w="7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tabs>
                      <w:tab w:val="left" w:pos="1126"/>
                    </w:tabs>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厨房油烟</w:t>
                  </w:r>
                </w:p>
              </w:tc>
              <w:tc>
                <w:tcPr>
                  <w:tcW w:w="492"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8"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油烟</w:t>
                  </w:r>
                </w:p>
              </w:tc>
              <w:tc>
                <w:tcPr>
                  <w:tcW w:w="701"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217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厨房安装油烟净化装置。</w:t>
                  </w:r>
                </w:p>
              </w:tc>
              <w:tc>
                <w:tcPr>
                  <w:tcW w:w="7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少量</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72" w:type="dxa"/>
                  <w:gridSpan w:val="6"/>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合计</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0.7337</w:t>
                  </w:r>
                </w:p>
              </w:tc>
              <w:tc>
                <w:tcPr>
                  <w:tcW w:w="650"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697"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c>
                <w:tcPr>
                  <w:tcW w:w="783" w:type="dxa"/>
                  <w:vAlign w:val="center"/>
                </w:tcPr>
                <w:p>
                  <w:pPr>
                    <w:pStyle w:val="9"/>
                    <w:keepNext w:val="0"/>
                    <w:keepLines w:val="0"/>
                    <w:pageBreakBefore w:val="0"/>
                    <w:widowControl w:val="0"/>
                    <w:kinsoku/>
                    <w:wordWrap/>
                    <w:overflowPunct/>
                    <w:topLinePunct w:val="0"/>
                    <w:autoSpaceDE/>
                    <w:autoSpaceDN/>
                    <w:bidi w:val="0"/>
                    <w:adjustRightInd/>
                    <w:snapToGrid/>
                    <w:spacing w:before="0"/>
                    <w:jc w:val="center"/>
                    <w:textAlignment w:val="auto"/>
                    <w:rPr>
                      <w:rFonts w:hint="default" w:ascii="Times New Roman" w:hAnsi="Times New Roman" w:cs="Times New Roman"/>
                      <w:sz w:val="21"/>
                      <w:szCs w:val="21"/>
                    </w:rPr>
                  </w:pPr>
                </w:p>
              </w:tc>
            </w:tr>
          </w:tbl>
          <w:p>
            <w:pPr>
              <w:keepNext w:val="0"/>
              <w:keepLines w:val="0"/>
              <w:pageBreakBefore w:val="0"/>
              <w:widowControl w:val="0"/>
              <w:tabs>
                <w:tab w:val="left" w:pos="1126"/>
              </w:tabs>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环评通过采用《环境影响评价技术导则大气环境》（HJ2.2-2018）附录A推荐模型中的AERSCREEN模式预测非正常情况下，项目无组织颗粒物排放对周围环境产生的影响。预测模式污染源参数如下表4-</w:t>
            </w:r>
            <w:r>
              <w:rPr>
                <w:rFonts w:hint="eastAsia" w:ascii="Times New Roman" w:hAnsi="Times New Roman" w:cs="Times New Roman"/>
                <w:b/>
                <w:bCs/>
                <w:sz w:val="24"/>
                <w:lang w:val="en-US" w:eastAsia="zh-CN"/>
              </w:rPr>
              <w:t>8</w:t>
            </w:r>
            <w:r>
              <w:rPr>
                <w:rFonts w:hint="default" w:ascii="Times New Roman" w:hAnsi="Times New Roman" w:cs="Times New Roman"/>
                <w:b/>
                <w:bCs/>
                <w:sz w:val="24"/>
              </w:rPr>
              <w:t>所示：</w:t>
            </w:r>
          </w:p>
          <w:p>
            <w:pPr>
              <w:keepNext w:val="0"/>
              <w:keepLines w:val="0"/>
              <w:widowControl/>
              <w:suppressLineNumbers w:val="0"/>
              <w:spacing w:before="0" w:beforeAutospacing="0" w:after="0" w:afterAutospacing="0"/>
              <w:ind w:left="0" w:right="0"/>
              <w:jc w:val="center"/>
              <w:rPr>
                <w:rFonts w:hint="default"/>
                <w:b/>
                <w:bCs/>
                <w:color w:val="auto"/>
                <w:sz w:val="21"/>
                <w:szCs w:val="21"/>
              </w:rPr>
            </w:pPr>
            <w:r>
              <w:rPr>
                <w:rFonts w:hint="eastAsia" w:ascii="Times New Roman" w:hAnsi="Times New Roman"/>
                <w:b/>
                <w:bCs/>
                <w:color w:val="auto"/>
                <w:sz w:val="21"/>
                <w:szCs w:val="21"/>
              </w:rPr>
              <w:t>表</w:t>
            </w:r>
            <w:r>
              <w:rPr>
                <w:rFonts w:hint="eastAsia" w:ascii="Times New Roman" w:hAnsi="Times New Roman"/>
                <w:b/>
                <w:bCs/>
                <w:color w:val="auto"/>
                <w:sz w:val="21"/>
                <w:szCs w:val="21"/>
                <w:lang w:val="en-US" w:eastAsia="zh-CN"/>
              </w:rPr>
              <w:t>4-8</w:t>
            </w:r>
            <w:r>
              <w:rPr>
                <w:rFonts w:hint="eastAsia" w:ascii="宋体" w:hAnsi="宋体" w:eastAsia="宋体" w:cs="宋体"/>
                <w:b/>
                <w:bCs/>
                <w:color w:val="auto"/>
                <w:kern w:val="0"/>
                <w:sz w:val="21"/>
                <w:szCs w:val="21"/>
                <w:lang w:val="en-US" w:eastAsia="zh-CN" w:bidi="ar"/>
              </w:rPr>
              <w:t>项目主要废气污染源参数一览表（矩形面源）</w:t>
            </w:r>
          </w:p>
          <w:tbl>
            <w:tblPr>
              <w:tblStyle w:val="26"/>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2"/>
              <w:gridCol w:w="1360"/>
              <w:gridCol w:w="1360"/>
              <w:gridCol w:w="1103"/>
              <w:gridCol w:w="981"/>
              <w:gridCol w:w="981"/>
              <w:gridCol w:w="981"/>
              <w:gridCol w:w="12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27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坐标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w:t>
                  </w:r>
                  <w:r>
                    <w:rPr>
                      <w:rFonts w:hint="eastAsia" w:ascii="Times New Roman" w:hAnsi="Times New Roman" w:eastAsia="宋体" w:cs="Times New Roman"/>
                      <w:b w:val="0"/>
                      <w:sz w:val="21"/>
                      <w:szCs w:val="21"/>
                      <w:lang w:eastAsia="zh-CN"/>
                    </w:rPr>
                    <w:t>）</w:t>
                  </w:r>
                </w:p>
              </w:tc>
              <w:tc>
                <w:tcPr>
                  <w:tcW w:w="110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海拔高度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污染物排放速率</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kg/h</w:t>
                  </w:r>
                  <w:r>
                    <w:rPr>
                      <w:rFonts w:hint="eastAsia" w:ascii="Times New Roman" w:hAnsi="Times New Roman" w:eastAsia="宋体" w:cs="Times New Roman"/>
                      <w:b w:val="0"/>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经度</w:t>
                  </w:r>
                </w:p>
              </w:tc>
              <w:tc>
                <w:tcPr>
                  <w:tcW w:w="13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纬度</w:t>
                  </w:r>
                </w:p>
              </w:tc>
              <w:tc>
                <w:tcPr>
                  <w:tcW w:w="110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长度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宽度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98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val="0"/>
                      <w:sz w:val="21"/>
                      <w:szCs w:val="21"/>
                    </w:rPr>
                    <w:t>有效高度</w:t>
                  </w:r>
                  <w:r>
                    <w:rPr>
                      <w:rFonts w:hint="eastAsia"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rPr>
                    <w:t>m</w:t>
                  </w:r>
                  <w:r>
                    <w:rPr>
                      <w:rFonts w:hint="eastAsia" w:ascii="Times New Roman" w:hAnsi="Times New Roman" w:eastAsia="宋体" w:cs="Times New Roman"/>
                      <w:b w:val="0"/>
                      <w:sz w:val="21"/>
                      <w:szCs w:val="21"/>
                      <w:lang w:eastAsia="zh-CN"/>
                    </w:rPr>
                    <w:t>）</w:t>
                  </w:r>
                </w:p>
              </w:tc>
              <w:tc>
                <w:tcPr>
                  <w:tcW w:w="12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00" w:hRule="atLeast"/>
              </w:trPr>
              <w:tc>
                <w:tcPr>
                  <w:tcW w:w="52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lang w:eastAsia="zh-CN"/>
                    </w:rPr>
                  </w:pPr>
                  <w:r>
                    <w:rPr>
                      <w:rFonts w:hint="eastAsia" w:ascii="Times New Roman" w:hAnsi="Times New Roman" w:eastAsia="宋体" w:cs="Times New Roman"/>
                      <w:b w:val="0"/>
                      <w:sz w:val="21"/>
                      <w:szCs w:val="21"/>
                      <w:lang w:val="en-US" w:eastAsia="zh-CN"/>
                    </w:rPr>
                    <w:t>矩形面源</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99.397374</w:t>
                  </w:r>
                </w:p>
              </w:tc>
              <w:tc>
                <w:tcPr>
                  <w:tcW w:w="1360"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26.031671</w:t>
                  </w:r>
                </w:p>
              </w:tc>
              <w:tc>
                <w:tcPr>
                  <w:tcW w:w="1103"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1824.00</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63.79</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33.23</w:t>
                  </w:r>
                </w:p>
              </w:tc>
              <w:tc>
                <w:tcPr>
                  <w:tcW w:w="981" w:type="dxa"/>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10.00</w:t>
                  </w:r>
                </w:p>
              </w:tc>
              <w:tc>
                <w:tcPr>
                  <w:tcW w:w="1239"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1"/>
                      <w:szCs w:val="21"/>
                    </w:rPr>
                    <w:t>0.</w:t>
                  </w:r>
                  <w:r>
                    <w:rPr>
                      <w:rFonts w:hint="eastAsia" w:ascii="Times New Roman" w:hAnsi="Times New Roman" w:eastAsia="宋体" w:cs="Times New Roman"/>
                      <w:b w:val="0"/>
                      <w:sz w:val="21"/>
                      <w:szCs w:val="21"/>
                      <w:lang w:val="en-US" w:eastAsia="zh-CN"/>
                    </w:rPr>
                    <w:t>7337</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pacing w:val="0"/>
                <w:kern w:val="21"/>
                <w:sz w:val="24"/>
                <w:szCs w:val="24"/>
                <w:lang w:val="en-US" w:eastAsia="zh-CN" w:bidi="ar-SA"/>
              </w:rPr>
            </w:pPr>
            <w:r>
              <w:rPr>
                <w:rFonts w:hint="eastAsia" w:ascii="Times New Roman" w:hAnsi="Times New Roman" w:cs="Times New Roman" w:eastAsiaTheme="minorEastAsia"/>
                <w:color w:val="auto"/>
                <w:spacing w:val="0"/>
                <w:kern w:val="21"/>
                <w:sz w:val="24"/>
                <w:szCs w:val="24"/>
                <w:lang w:val="en-US" w:eastAsia="zh-CN" w:bidi="ar-SA"/>
              </w:rPr>
              <w:t>预测结果见表</w:t>
            </w:r>
            <w:r>
              <w:rPr>
                <w:rFonts w:hint="default" w:ascii="Times New Roman" w:hAnsi="Times New Roman" w:cs="Times New Roman" w:eastAsiaTheme="minorEastAsia"/>
                <w:color w:val="auto"/>
                <w:spacing w:val="0"/>
                <w:kern w:val="21"/>
                <w:sz w:val="24"/>
                <w:szCs w:val="24"/>
                <w:lang w:val="en-US" w:eastAsia="zh-CN" w:bidi="ar-SA"/>
              </w:rPr>
              <w:t>4-</w:t>
            </w:r>
            <w:r>
              <w:rPr>
                <w:rFonts w:hint="eastAsia" w:ascii="Times New Roman" w:hAnsi="Times New Roman" w:cs="Times New Roman"/>
                <w:color w:val="auto"/>
                <w:spacing w:val="0"/>
                <w:kern w:val="21"/>
                <w:sz w:val="24"/>
                <w:szCs w:val="24"/>
                <w:lang w:val="en-US" w:eastAsia="zh-CN" w:bidi="ar-SA"/>
              </w:rPr>
              <w:t>9</w:t>
            </w:r>
            <w:r>
              <w:rPr>
                <w:rFonts w:hint="eastAsia" w:ascii="Times New Roman" w:hAnsi="Times New Roman" w:cs="Times New Roman" w:eastAsiaTheme="minorEastAsia"/>
                <w:color w:val="auto"/>
                <w:spacing w:val="0"/>
                <w:kern w:val="21"/>
                <w:sz w:val="24"/>
                <w:szCs w:val="24"/>
                <w:lang w:val="en-US" w:eastAsia="zh-CN" w:bidi="ar-SA"/>
              </w:rPr>
              <w:t>。</w:t>
            </w:r>
          </w:p>
          <w:p>
            <w:pPr>
              <w:keepNext w:val="0"/>
              <w:keepLines w:val="0"/>
              <w:widowControl/>
              <w:suppressLineNumbers w:val="0"/>
              <w:spacing w:before="0" w:beforeAutospacing="0" w:after="0" w:afterAutospacing="0"/>
              <w:ind w:left="0" w:right="0"/>
              <w:jc w:val="center"/>
              <w:rPr>
                <w:rFonts w:hint="default"/>
                <w:color w:val="auto"/>
                <w:sz w:val="21"/>
                <w:szCs w:val="21"/>
              </w:rPr>
            </w:pPr>
            <w:r>
              <w:rPr>
                <w:rFonts w:hint="default" w:ascii="Times New Roman"/>
                <w:b/>
                <w:color w:val="auto"/>
                <w:kern w:val="2"/>
                <w:sz w:val="21"/>
                <w:szCs w:val="21"/>
              </w:rPr>
              <w:t>表</w:t>
            </w:r>
            <w:r>
              <w:rPr>
                <w:rFonts w:hint="eastAsia" w:ascii="Times New Roman" w:hAnsi="Times New Roman"/>
                <w:b/>
                <w:color w:val="auto"/>
                <w:kern w:val="2"/>
                <w:sz w:val="21"/>
                <w:szCs w:val="21"/>
                <w:lang w:val="en-US" w:eastAsia="zh-CN"/>
              </w:rPr>
              <w:t>4-9</w:t>
            </w:r>
            <w:r>
              <w:rPr>
                <w:rFonts w:hint="eastAsia" w:ascii="宋体" w:hAnsi="宋体" w:eastAsia="宋体" w:cs="宋体"/>
                <w:b/>
                <w:bCs/>
                <w:color w:val="auto"/>
                <w:kern w:val="0"/>
                <w:sz w:val="21"/>
                <w:szCs w:val="21"/>
                <w:lang w:val="en-US" w:eastAsia="zh-CN" w:bidi="ar"/>
              </w:rPr>
              <w:t>无组织粉尘影响预测结果一览表</w:t>
            </w:r>
          </w:p>
          <w:tbl>
            <w:tblPr>
              <w:tblStyle w:val="2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07"/>
              <w:gridCol w:w="1209"/>
              <w:gridCol w:w="1284"/>
              <w:gridCol w:w="1206"/>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预测点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污染源名称</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rPr>
                  </w:pPr>
                  <w:r>
                    <w:rPr>
                      <w:rFonts w:hint="default" w:ascii="Times New Roman" w:hAnsi="Times New Roman" w:cs="Times New Roman"/>
                      <w:b/>
                      <w:color w:val="auto"/>
                      <w:kern w:val="2"/>
                      <w:sz w:val="21"/>
                      <w:szCs w:val="21"/>
                      <w:lang w:val="en-US" w:eastAsia="zh-CN"/>
                    </w:rPr>
                    <w:t>污染</w:t>
                  </w:r>
                  <w:r>
                    <w:rPr>
                      <w:rFonts w:hint="default" w:ascii="Times New Roman" w:hAnsi="Times New Roman" w:cs="Times New Roman"/>
                      <w:b/>
                      <w:color w:val="auto"/>
                      <w:kern w:val="2"/>
                      <w:sz w:val="21"/>
                      <w:szCs w:val="21"/>
                    </w:rPr>
                    <w:t>因子</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2"/>
                      <w:sz w:val="21"/>
                      <w:szCs w:val="21"/>
                      <w:lang w:val="en-US" w:eastAsia="zh-CN"/>
                    </w:rPr>
                  </w:pPr>
                  <w:r>
                    <w:rPr>
                      <w:rFonts w:hint="default" w:ascii="Times New Roman" w:hAnsi="Times New Roman" w:cs="Times New Roman"/>
                      <w:b/>
                      <w:color w:val="auto"/>
                      <w:kern w:val="2"/>
                      <w:sz w:val="21"/>
                      <w:szCs w:val="21"/>
                      <w:lang w:val="en-US" w:eastAsia="zh-CN"/>
                    </w:rPr>
                    <w:t>预测浓度</w:t>
                  </w:r>
                  <w:r>
                    <w:rPr>
                      <w:rFonts w:hint="default" w:ascii="Times New Roman" w:hAnsi="Times New Roman" w:cs="Times New Roman"/>
                      <w:b/>
                      <w:color w:val="auto"/>
                      <w:kern w:val="2"/>
                      <w:sz w:val="21"/>
                      <w:szCs w:val="21"/>
                      <w:lang w:eastAsia="zh-CN"/>
                    </w:rPr>
                    <w:t>（</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b/>
                      <w:color w:val="auto"/>
                      <w:kern w:val="2"/>
                      <w:sz w:val="21"/>
                      <w:szCs w:val="21"/>
                      <w:lang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出现点位/距离(m)</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bCs/>
                      <w:color w:val="auto"/>
                      <w:kern w:val="2"/>
                      <w:sz w:val="21"/>
                      <w:szCs w:val="21"/>
                      <w:lang w:eastAsia="zh-CN"/>
                    </w:rPr>
                  </w:pPr>
                  <w:r>
                    <w:rPr>
                      <w:rFonts w:hint="default" w:ascii="Times New Roman" w:hAnsi="Times New Roman" w:cs="Times New Roman"/>
                      <w:b/>
                      <w:bCs/>
                      <w:sz w:val="21"/>
                      <w:szCs w:val="21"/>
                    </w:rPr>
                    <w:t>执行标准</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b/>
                      <w:color w:val="auto"/>
                      <w:kern w:val="2"/>
                      <w:sz w:val="21"/>
                      <w:szCs w:val="21"/>
                      <w:lang w:val="en-US" w:eastAsia="zh-CN"/>
                    </w:rPr>
                  </w:pPr>
                  <w:r>
                    <w:rPr>
                      <w:rFonts w:hint="default" w:ascii="Times New Roman" w:hAnsi="Times New Roman" w:cs="Times New Roman"/>
                      <w:b/>
                      <w:color w:val="auto"/>
                      <w:kern w:val="2"/>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厂界浓度最大值</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682.56</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color w:val="auto"/>
                      <w:kern w:val="2"/>
                      <w:sz w:val="21"/>
                      <w:szCs w:val="21"/>
                      <w:lang w:val="en-US" w:eastAsia="zh-CN"/>
                    </w:rPr>
                    <w:t>南厂界</w:t>
                  </w:r>
                </w:p>
              </w:tc>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《大气污染物综合排放标准》无组织监控浓度限值(1mg/m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厂界外浓度最大点</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689.74</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69m</w:t>
                  </w:r>
                </w:p>
              </w:tc>
              <w:tc>
                <w:tcPr>
                  <w:tcW w:w="120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环境空气质量标准类区(900</w:t>
                  </w:r>
                  <w:r>
                    <w:rPr>
                      <w:rFonts w:hint="default" w:ascii="Times New Roman" w:hAnsi="Times New Roman" w:eastAsia="宋体" w:cs="Times New Roman"/>
                      <w:b w:val="0"/>
                      <w:sz w:val="21"/>
                      <w:szCs w:val="21"/>
                    </w:rPr>
                    <w:t>μg</w:t>
                  </w:r>
                  <w:r>
                    <w:rPr>
                      <w:rFonts w:hint="default" w:ascii="Times New Roman" w:hAnsi="Times New Roman" w:cs="Times New Roman"/>
                      <w:b/>
                      <w:color w:val="auto"/>
                      <w:kern w:val="2"/>
                      <w:sz w:val="21"/>
                      <w:szCs w:val="21"/>
                    </w:rPr>
                    <w:t>/m</w:t>
                  </w:r>
                  <w:r>
                    <w:rPr>
                      <w:rFonts w:hint="default" w:ascii="Times New Roman" w:hAnsi="Times New Roman" w:cs="Times New Roman"/>
                      <w:b/>
                      <w:color w:val="auto"/>
                      <w:kern w:val="2"/>
                      <w:sz w:val="21"/>
                      <w:szCs w:val="21"/>
                      <w:vertAlign w:val="superscript"/>
                    </w:rPr>
                    <w:t>3</w:t>
                  </w:r>
                  <w:r>
                    <w:rPr>
                      <w:rFonts w:hint="default" w:ascii="Times New Roman" w:hAnsi="Times New Roman" w:cs="Times New Roman"/>
                      <w:color w:val="auto"/>
                      <w:sz w:val="21"/>
                      <w:szCs w:val="21"/>
                      <w:lang w:val="en-US" w:eastAsia="zh-CN"/>
                    </w:rPr>
                    <w:t>)</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农户养殖圈</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621.18</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30m</w:t>
                  </w:r>
                </w:p>
              </w:tc>
              <w:tc>
                <w:tcPr>
                  <w:tcW w:w="120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01"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七登村</w:t>
                  </w:r>
                </w:p>
              </w:tc>
              <w:tc>
                <w:tcPr>
                  <w:tcW w:w="12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矩形面源</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b w:val="0"/>
                      <w:sz w:val="21"/>
                      <w:szCs w:val="21"/>
                      <w:lang w:val="en-US" w:eastAsia="zh-CN"/>
                    </w:rPr>
                    <w:t>452.08</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86m</w:t>
                  </w:r>
                </w:p>
              </w:tc>
              <w:tc>
                <w:tcPr>
                  <w:tcW w:w="12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cs="Times New Roman"/>
                <w:sz w:val="24"/>
                <w:szCs w:val="24"/>
              </w:rPr>
              <w:t>根据预测结果，项目运营期非正常情况下，项目无组织排放的颗粒物最大落地浓度为</w:t>
            </w:r>
            <w:r>
              <w:rPr>
                <w:rFonts w:hint="default" w:ascii="Times New Roman" w:hAnsi="Times New Roman" w:eastAsia="宋体" w:cs="Times New Roman"/>
                <w:b w:val="0"/>
                <w:sz w:val="24"/>
                <w:szCs w:val="24"/>
                <w:lang w:val="en-US" w:eastAsia="zh-CN"/>
              </w:rPr>
              <w:t>689.74</w:t>
            </w:r>
            <w:r>
              <w:rPr>
                <w:rFonts w:hint="default" w:ascii="Times New Roman" w:hAnsi="Times New Roman" w:cs="Times New Roman"/>
                <w:sz w:val="24"/>
                <w:szCs w:val="24"/>
              </w:rPr>
              <w:t>ug/m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，最大落地浓度出现距离为</w:t>
            </w:r>
            <w:r>
              <w:rPr>
                <w:rFonts w:hint="default" w:ascii="Times New Roman" w:hAnsi="Times New Roman" w:cs="Times New Roman"/>
                <w:sz w:val="24"/>
                <w:szCs w:val="24"/>
                <w:lang w:val="en-US" w:eastAsia="zh-CN"/>
              </w:rPr>
              <w:t>69</w:t>
            </w:r>
            <w:r>
              <w:rPr>
                <w:rFonts w:hint="default" w:ascii="Times New Roman" w:hAnsi="Times New Roman" w:cs="Times New Roman"/>
                <w:sz w:val="24"/>
                <w:szCs w:val="24"/>
              </w:rPr>
              <w:t>m。项目除尘设施故障情况下，与正常情况相比污染物排放量增大，对周围环境影响较大；因此，在运营期加强管理，定期对废气治理设施进行维护检修，避免非正常排放情况发生。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5、监测要求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color w:val="auto"/>
                <w:sz w:val="24"/>
                <w:szCs w:val="24"/>
              </w:rPr>
            </w:pPr>
            <w:r>
              <w:rPr>
                <w:rFonts w:hint="eastAsia" w:ascii="宋体" w:hAnsi="宋体" w:eastAsia="宋体" w:cs="宋体"/>
                <w:color w:val="auto"/>
                <w:kern w:val="0"/>
                <w:sz w:val="24"/>
                <w:szCs w:val="24"/>
                <w:lang w:val="en-US" w:eastAsia="zh-CN" w:bidi="ar"/>
              </w:rPr>
              <w:t>根据</w:t>
            </w:r>
            <w:r>
              <w:rPr>
                <w:rFonts w:hint="eastAsia" w:cs="Times New Roman"/>
                <w:b w:val="0"/>
                <w:bCs/>
                <w:color w:val="auto"/>
                <w:sz w:val="24"/>
                <w:szCs w:val="24"/>
                <w:lang w:val="en-US" w:eastAsia="zh-CN"/>
              </w:rPr>
              <w:t>《</w:t>
            </w:r>
            <w:r>
              <w:rPr>
                <w:rFonts w:hint="eastAsia"/>
                <w:color w:val="auto"/>
                <w:sz w:val="24"/>
                <w:szCs w:val="24"/>
                <w:lang w:val="en-US" w:eastAsia="zh-CN"/>
              </w:rPr>
              <w:t>排污许可证申请与核发技术规范陶瓷砖瓦工业》</w:t>
            </w:r>
            <w:r>
              <w:rPr>
                <w:rFonts w:hint="default" w:ascii="Times New Roman" w:hAnsi="Times New Roman" w:eastAsia="宋体" w:cs="Times New Roman"/>
                <w:color w:val="auto"/>
                <w:sz w:val="24"/>
                <w:szCs w:val="24"/>
                <w:lang w:val="en-US" w:eastAsia="zh-CN"/>
              </w:rPr>
              <w:t>（HJ954-2018）</w:t>
            </w:r>
            <w:r>
              <w:rPr>
                <w:rFonts w:hint="eastAsia" w:ascii="Times New Roman" w:hAnsi="Times New Roman" w:cs="Times New Roman"/>
                <w:bCs/>
                <w:color w:val="auto"/>
                <w:kern w:val="21"/>
                <w:sz w:val="24"/>
                <w:lang w:val="en-US" w:eastAsia="zh-CN"/>
              </w:rPr>
              <w:t>表36</w:t>
            </w:r>
            <w:r>
              <w:rPr>
                <w:rFonts w:hint="eastAsia" w:ascii="宋体" w:hAnsi="宋体" w:eastAsia="宋体" w:cs="宋体"/>
                <w:color w:val="auto"/>
                <w:kern w:val="0"/>
                <w:sz w:val="24"/>
                <w:szCs w:val="24"/>
                <w:lang w:val="en-US" w:eastAsia="zh-CN" w:bidi="ar"/>
              </w:rPr>
              <w:t>，项目废气监测要求具体见下表所示：</w:t>
            </w:r>
          </w:p>
          <w:p>
            <w:pPr>
              <w:keepNext/>
              <w:keepLines/>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表</w:t>
            </w:r>
            <w:r>
              <w:rPr>
                <w:rFonts w:hint="eastAsia" w:ascii="Times New Roman" w:hAnsi="Times New Roman" w:eastAsia="宋体" w:cs="Times New Roman"/>
                <w:b/>
                <w:bCs/>
                <w:color w:val="auto"/>
                <w:sz w:val="21"/>
                <w:szCs w:val="21"/>
                <w:lang w:val="en-US" w:eastAsia="zh-CN"/>
              </w:rPr>
              <w:t>4-10废气监测计划</w:t>
            </w:r>
          </w:p>
          <w:tbl>
            <w:tblPr>
              <w:tblStyle w:val="2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86"/>
              <w:gridCol w:w="2118"/>
              <w:gridCol w:w="1093"/>
              <w:gridCol w:w="109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序号</w:t>
                  </w:r>
                </w:p>
              </w:tc>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排放形式</w:t>
                  </w:r>
                </w:p>
              </w:tc>
              <w:tc>
                <w:tcPr>
                  <w:tcW w:w="21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监测点位</w:t>
                  </w:r>
                </w:p>
              </w:tc>
              <w:tc>
                <w:tcPr>
                  <w:tcW w:w="10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监测因子</w:t>
                  </w:r>
                </w:p>
              </w:tc>
              <w:tc>
                <w:tcPr>
                  <w:tcW w:w="10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r>
                    <w:rPr>
                      <w:rFonts w:hint="default" w:ascii="Times New Roman" w:hAnsi="Times New Roman" w:cs="Times New Roman"/>
                      <w:b/>
                      <w:bCs w:val="0"/>
                      <w:color w:val="auto"/>
                      <w:kern w:val="21"/>
                      <w:sz w:val="21"/>
                      <w:szCs w:val="21"/>
                      <w:vertAlign w:val="baseline"/>
                      <w:lang w:eastAsia="zh-CN"/>
                    </w:rPr>
                    <w:t>监测频次</w:t>
                  </w:r>
                </w:p>
              </w:tc>
              <w:tc>
                <w:tcPr>
                  <w:tcW w:w="26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val="en-US" w:eastAsia="zh-CN"/>
                    </w:rPr>
                  </w:pPr>
                  <w:r>
                    <w:rPr>
                      <w:rFonts w:hint="default" w:ascii="Times New Roman" w:hAnsi="Times New Roman" w:cs="Times New Roman"/>
                      <w:b/>
                      <w:bCs w:val="0"/>
                      <w:color w:val="auto"/>
                      <w:kern w:val="21"/>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21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z w:val="21"/>
                      <w:szCs w:val="21"/>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eastAsia="zh-CN"/>
                    </w:rPr>
                  </w:pPr>
                </w:p>
              </w:tc>
              <w:tc>
                <w:tcPr>
                  <w:tcW w:w="26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kern w:val="21"/>
                      <w:sz w:val="21"/>
                      <w:szCs w:val="21"/>
                      <w:vertAlign w:val="baseline"/>
                      <w:lang w:val="en-US" w:eastAsia="zh-CN"/>
                    </w:rPr>
                  </w:pPr>
                  <w:r>
                    <w:rPr>
                      <w:rFonts w:hint="default" w:ascii="Times New Roman" w:hAnsi="Times New Roman" w:cs="Times New Roman"/>
                      <w:b/>
                      <w:bCs w:val="0"/>
                      <w:color w:val="auto"/>
                      <w:kern w:val="21"/>
                      <w:sz w:val="21"/>
                      <w:szCs w:val="21"/>
                      <w:vertAlign w:val="baseline"/>
                      <w:lang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1</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eastAsia="zh-CN"/>
                    </w:rPr>
                  </w:pPr>
                  <w:r>
                    <w:rPr>
                      <w:rFonts w:hint="default" w:ascii="Times New Roman" w:hAnsi="Times New Roman" w:cs="Times New Roman"/>
                      <w:b w:val="0"/>
                      <w:bCs/>
                      <w:color w:val="auto"/>
                      <w:kern w:val="21"/>
                      <w:sz w:val="21"/>
                      <w:szCs w:val="21"/>
                      <w:vertAlign w:val="baseline"/>
                      <w:lang w:val="en-US" w:eastAsia="zh-CN"/>
                    </w:rPr>
                    <w:t>无组织</w:t>
                  </w:r>
                </w:p>
              </w:tc>
              <w:tc>
                <w:tcPr>
                  <w:tcW w:w="21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厂界（</w:t>
                  </w:r>
                  <w:r>
                    <w:rPr>
                      <w:rFonts w:hint="default" w:ascii="Times New Roman" w:hAnsi="Times New Roman" w:eastAsia="宋体" w:cs="Times New Roman"/>
                      <w:color w:val="auto"/>
                      <w:kern w:val="0"/>
                      <w:sz w:val="21"/>
                      <w:szCs w:val="21"/>
                      <w:highlight w:val="none"/>
                    </w:rPr>
                    <w:t>上风向1个，下风向设3个</w:t>
                  </w:r>
                  <w:r>
                    <w:rPr>
                      <w:rFonts w:hint="default" w:ascii="Times New Roman" w:hAnsi="Times New Roman" w:cs="Times New Roman"/>
                      <w:b w:val="0"/>
                      <w:bCs/>
                      <w:color w:val="auto"/>
                      <w:kern w:val="21"/>
                      <w:sz w:val="21"/>
                      <w:szCs w:val="21"/>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eastAsia="zh-CN"/>
                    </w:rPr>
                  </w:pPr>
                  <w:r>
                    <w:rPr>
                      <w:rFonts w:hint="default" w:ascii="Times New Roman" w:hAnsi="Times New Roman" w:cs="Times New Roman"/>
                      <w:b w:val="0"/>
                      <w:bCs/>
                      <w:color w:val="auto"/>
                      <w:kern w:val="21"/>
                      <w:sz w:val="21"/>
                      <w:szCs w:val="21"/>
                      <w:vertAlign w:val="baseline"/>
                      <w:lang w:eastAsia="zh-CN"/>
                    </w:rPr>
                    <w:t>颗粒物</w:t>
                  </w:r>
                </w:p>
              </w:tc>
              <w:tc>
                <w:tcPr>
                  <w:tcW w:w="10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1次/年</w:t>
                  </w:r>
                </w:p>
              </w:tc>
              <w:tc>
                <w:tcPr>
                  <w:tcW w:w="26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auto"/>
                      <w:kern w:val="21"/>
                      <w:sz w:val="21"/>
                      <w:szCs w:val="21"/>
                      <w:vertAlign w:val="baseline"/>
                      <w:lang w:val="en-US" w:eastAsia="zh-CN"/>
                    </w:rPr>
                  </w:pPr>
                  <w:r>
                    <w:rPr>
                      <w:rFonts w:hint="default" w:ascii="Times New Roman" w:hAnsi="Times New Roman" w:cs="Times New Roman"/>
                      <w:b w:val="0"/>
                      <w:bCs/>
                      <w:color w:val="auto"/>
                      <w:kern w:val="21"/>
                      <w:sz w:val="21"/>
                      <w:szCs w:val="21"/>
                      <w:vertAlign w:val="baseline"/>
                      <w:lang w:val="en-US" w:eastAsia="zh-CN"/>
                    </w:rPr>
                    <w:t>1.0</w:t>
                  </w:r>
                  <w:r>
                    <w:rPr>
                      <w:rFonts w:hint="default" w:ascii="Times New Roman" w:hAnsi="Times New Roman" w:cs="Times New Roman"/>
                      <w:b w:val="0"/>
                      <w:bCs/>
                      <w:color w:val="auto"/>
                      <w:sz w:val="21"/>
                      <w:szCs w:val="21"/>
                      <w:highlight w:val="none"/>
                    </w:rPr>
                    <w:t>mg/m</w:t>
                  </w:r>
                  <w:r>
                    <w:rPr>
                      <w:rFonts w:hint="default" w:ascii="Times New Roman" w:hAnsi="Times New Roman" w:cs="Times New Roman"/>
                      <w:b w:val="0"/>
                      <w:bCs/>
                      <w:color w:val="auto"/>
                      <w:sz w:val="21"/>
                      <w:szCs w:val="21"/>
                      <w:highlight w:val="none"/>
                      <w:vertAlign w:val="superscript"/>
                    </w:rPr>
                    <w:t>3</w:t>
                  </w:r>
                </w:p>
              </w:tc>
            </w:tr>
          </w:tbl>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6</w:t>
            </w:r>
            <w:r>
              <w:rPr>
                <w:rFonts w:hint="eastAsia" w:ascii="Times New Roman" w:hAnsi="Times New Roman" w:eastAsia="宋体" w:cs="Times New Roman"/>
                <w:b/>
                <w:bCs/>
                <w:color w:val="auto"/>
                <w:kern w:val="2"/>
                <w:sz w:val="24"/>
                <w:szCs w:val="24"/>
                <w:lang w:val="en-US" w:eastAsia="zh-CN" w:bidi="ar-SA"/>
              </w:rPr>
              <w:t>、结论</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color w:val="auto"/>
                <w:sz w:val="24"/>
                <w:szCs w:val="24"/>
                <w:lang w:eastAsia="zh-CN"/>
              </w:rPr>
              <w:t>综上所述，本项目主要排放的污染物为颗粒物，运营期间颗粒物通过一系列污染防治措施处理后</w:t>
            </w:r>
            <w:r>
              <w:rPr>
                <w:rFonts w:hint="eastAsia" w:ascii="Times New Roman" w:hAnsi="Times New Roman" w:eastAsia="宋体" w:cs="Times New Roman"/>
                <w:b w:val="0"/>
                <w:bCs/>
                <w:color w:val="auto"/>
                <w:sz w:val="24"/>
                <w:szCs w:val="24"/>
                <w:lang w:val="en-US" w:eastAsia="zh-CN"/>
              </w:rPr>
              <w:t>可达标</w:t>
            </w:r>
            <w:r>
              <w:rPr>
                <w:rFonts w:hint="default" w:ascii="Times New Roman" w:hAnsi="Times New Roman" w:eastAsia="宋体" w:cs="Times New Roman"/>
                <w:b w:val="0"/>
                <w:bCs/>
                <w:color w:val="auto"/>
                <w:sz w:val="24"/>
                <w:szCs w:val="24"/>
                <w:lang w:eastAsia="zh-CN"/>
              </w:rPr>
              <w:t>排放</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满足《大气污染物综合排放标准》（GB16297-1996）表2中的二级标准监控浓度限值。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二、</w:t>
            </w:r>
            <w:r>
              <w:rPr>
                <w:rFonts w:hint="default" w:ascii="Times New Roman" w:hAnsi="Times New Roman" w:eastAsia="宋体" w:cs="Times New Roman"/>
                <w:b/>
                <w:bCs w:val="0"/>
                <w:color w:val="auto"/>
                <w:sz w:val="24"/>
                <w:szCs w:val="24"/>
                <w:lang w:eastAsia="zh-CN"/>
              </w:rPr>
              <w:t>运营期废水</w:t>
            </w:r>
            <w:r>
              <w:rPr>
                <w:rFonts w:hint="default" w:ascii="Times New Roman" w:hAnsi="Times New Roman" w:eastAsia="宋体" w:cs="Times New Roman"/>
                <w:b/>
                <w:bCs w:val="0"/>
                <w:color w:val="auto"/>
                <w:sz w:val="24"/>
                <w:szCs w:val="24"/>
              </w:rPr>
              <w:t>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sz w:val="24"/>
                <w:szCs w:val="24"/>
                <w:highlight w:val="none"/>
                <w:lang w:val="zh-CN" w:eastAsia="zh-CN"/>
              </w:rPr>
            </w:pPr>
            <w:r>
              <w:rPr>
                <w:rFonts w:hint="eastAsia" w:cs="Times New Roman"/>
                <w:color w:val="auto"/>
                <w:sz w:val="24"/>
                <w:szCs w:val="24"/>
                <w:highlight w:val="none"/>
                <w:lang w:val="zh-CN" w:eastAsia="zh-CN"/>
              </w:rPr>
              <w:t>项目用水主要为砂石料生产过程用水、砂石料生产过程中喷淋用水、</w:t>
            </w:r>
            <w:r>
              <w:rPr>
                <w:rFonts w:hint="default" w:ascii="Times New Roman" w:hAnsi="Times New Roman" w:eastAsia="宋体" w:cs="Times New Roman"/>
                <w:color w:val="auto"/>
                <w:sz w:val="24"/>
                <w:szCs w:val="24"/>
                <w:highlight w:val="none"/>
                <w:lang w:val="en-US" w:eastAsia="zh-CN"/>
              </w:rPr>
              <w:t>场地洒水降尘用水</w:t>
            </w:r>
            <w:r>
              <w:rPr>
                <w:rFonts w:hint="eastAsia" w:cs="Times New Roman"/>
                <w:color w:val="auto"/>
                <w:sz w:val="24"/>
                <w:szCs w:val="24"/>
                <w:highlight w:val="none"/>
                <w:lang w:val="zh-CN" w:eastAsia="zh-CN"/>
              </w:rPr>
              <w:t>及生活用水。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洗砂</w:t>
            </w:r>
            <w:r>
              <w:rPr>
                <w:rFonts w:hint="default" w:ascii="Times New Roman" w:hAnsi="Times New Roman" w:eastAsia="宋体" w:cs="Times New Roman"/>
                <w:bCs/>
                <w:color w:val="auto"/>
                <w:sz w:val="24"/>
                <w:szCs w:val="24"/>
                <w:highlight w:val="none"/>
                <w:lang w:eastAsia="zh-CN"/>
              </w:rPr>
              <w:t>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highlight w:val="none"/>
                <w:lang w:val="en-US" w:eastAsia="zh-CN"/>
              </w:rPr>
            </w:pPr>
            <w:r>
              <w:rPr>
                <w:rFonts w:hint="eastAsia" w:cs="Times New Roman"/>
                <w:color w:val="auto"/>
                <w:sz w:val="24"/>
                <w:szCs w:val="24"/>
                <w:highlight w:val="none"/>
                <w:lang w:val="en-US" w:eastAsia="zh-CN"/>
              </w:rPr>
              <w:t>根据前文核算，</w:t>
            </w:r>
            <w:r>
              <w:rPr>
                <w:rFonts w:hint="eastAsia" w:cs="Times New Roman"/>
                <w:color w:val="auto"/>
                <w:sz w:val="24"/>
                <w:szCs w:val="24"/>
                <w:highlight w:val="none"/>
                <w:lang w:val="zh-CN" w:eastAsia="zh-CN"/>
              </w:rPr>
              <w:t>项目</w:t>
            </w:r>
            <w:r>
              <w:rPr>
                <w:rFonts w:hint="eastAsia" w:cs="Times New Roman"/>
                <w:color w:val="auto"/>
                <w:sz w:val="24"/>
                <w:szCs w:val="24"/>
                <w:highlight w:val="none"/>
                <w:lang w:val="en-US" w:eastAsia="zh-CN"/>
              </w:rPr>
              <w:t>水洗</w:t>
            </w:r>
            <w:r>
              <w:rPr>
                <w:rFonts w:hint="default" w:ascii="Times New Roman" w:hAnsi="Times New Roman" w:eastAsia="宋体" w:cs="Times New Roman"/>
                <w:bCs/>
                <w:color w:val="auto"/>
                <w:sz w:val="24"/>
                <w:szCs w:val="24"/>
                <w:highlight w:val="none"/>
                <w:lang w:eastAsia="zh-CN"/>
              </w:rPr>
              <w:t>砂石料</w:t>
            </w:r>
            <w:r>
              <w:rPr>
                <w:rFonts w:hint="eastAsia" w:ascii="Times New Roman" w:hAnsi="Times New Roman" w:eastAsia="宋体" w:cs="Times New Roman"/>
                <w:bCs/>
                <w:color w:val="auto"/>
                <w:sz w:val="24"/>
                <w:szCs w:val="24"/>
                <w:highlight w:val="none"/>
                <w:lang w:val="en-US" w:eastAsia="zh-CN"/>
              </w:rPr>
              <w:t>量为40000t/a，则废水量产生量为</w:t>
            </w:r>
            <w:r>
              <w:rPr>
                <w:rFonts w:hint="eastAsia" w:ascii="Times New Roman" w:hAnsi="Times New Roman" w:eastAsia="宋体" w:cs="Times New Roman"/>
                <w:bCs/>
                <w:color w:val="auto"/>
                <w:sz w:val="24"/>
                <w:highlight w:val="none"/>
                <w:lang w:val="en-US" w:eastAsia="zh-CN"/>
              </w:rPr>
              <w:t>5600</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根据0.85的产污系数得出用水量为6588.24</w:t>
            </w:r>
            <w:r>
              <w:rPr>
                <w:rFonts w:hint="eastAsia" w:ascii="Times New Roman" w:hAnsi="Times New Roman" w:eastAsia="Times New Roman"/>
                <w:color w:val="auto"/>
                <w:sz w:val="24"/>
                <w:szCs w:val="22"/>
              </w:rPr>
              <w:t>m</w:t>
            </w:r>
            <w:r>
              <w:rPr>
                <w:rFonts w:hint="eastAsia" w:ascii="Times New Roman" w:hAnsi="Times New Roman" w:eastAsia="Times New Roman"/>
                <w:color w:val="auto"/>
                <w:sz w:val="24"/>
                <w:szCs w:val="22"/>
                <w:vertAlign w:val="superscript"/>
              </w:rPr>
              <w:t>3</w:t>
            </w:r>
            <w:r>
              <w:rPr>
                <w:rFonts w:hint="eastAsia" w:ascii="Times New Roman" w:hAnsi="Times New Roman" w:eastAsia="Times New Roman"/>
                <w:color w:val="auto"/>
                <w:sz w:val="24"/>
                <w:szCs w:val="22"/>
              </w:rPr>
              <w:t>/a</w:t>
            </w:r>
            <w:r>
              <w:rPr>
                <w:rFonts w:hint="eastAsia" w:ascii="Times New Roman" w:hAnsi="Times New Roman" w:eastAsia="宋体"/>
                <w:color w:val="auto"/>
                <w:sz w:val="24"/>
                <w:szCs w:val="22"/>
                <w:lang w:eastAsia="zh-CN"/>
              </w:rPr>
              <w:t>，</w:t>
            </w:r>
            <w:r>
              <w:rPr>
                <w:rFonts w:hint="eastAsia" w:ascii="Times New Roman" w:hAnsi="Times New Roman" w:eastAsia="宋体"/>
                <w:color w:val="auto"/>
                <w:sz w:val="24"/>
                <w:szCs w:val="22"/>
                <w:lang w:val="en-US" w:eastAsia="zh-CN"/>
              </w:rPr>
              <w:t>22</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/d，清洗废水进入沉淀池后通过三级经沉淀处理后回用于项目生产，则循环水量为5600m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/a，18.67m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/d；补充水量为：988.24m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/a，3.29m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w:t>
            </w:r>
          </w:p>
          <w:p>
            <w:pPr>
              <w:pStyle w:val="72"/>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砂石料生产过程中</w:t>
            </w:r>
            <w:r>
              <w:rPr>
                <w:rFonts w:hint="default" w:ascii="Times New Roman" w:hAnsi="Times New Roman" w:eastAsia="宋体" w:cs="Times New Roman"/>
                <w:color w:val="auto"/>
                <w:sz w:val="24"/>
                <w:szCs w:val="24"/>
                <w:highlight w:val="none"/>
                <w:lang w:val="en-US" w:eastAsia="zh-CN"/>
              </w:rPr>
              <w:t>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Cs/>
                <w:color w:val="auto"/>
                <w:sz w:val="24"/>
                <w:highlight w:val="none"/>
                <w:lang w:val="en-US" w:eastAsia="zh-CN"/>
              </w:rPr>
              <w:t>根据前文核算喷淋用水总共为11.52</w:t>
            </w:r>
            <w:r>
              <w:rPr>
                <w:rFonts w:hint="eastAsia" w:ascii="Times New Roman" w:hAnsi="Times New Roman" w:eastAsia="宋体" w:cs="Times New Roman"/>
                <w:bCs/>
                <w:color w:val="auto"/>
                <w:sz w:val="24"/>
                <w:highlight w:val="none"/>
                <w:lang w:eastAsia="zh-CN"/>
              </w:rPr>
              <w:t>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/d，</w:t>
            </w:r>
            <w:r>
              <w:rPr>
                <w:rFonts w:hint="eastAsia" w:ascii="Times New Roman" w:hAnsi="Times New Roman" w:eastAsia="宋体" w:cs="Times New Roman"/>
                <w:bCs/>
                <w:color w:val="auto"/>
                <w:sz w:val="24"/>
                <w:highlight w:val="none"/>
                <w:lang w:val="en-US" w:eastAsia="zh-CN"/>
              </w:rPr>
              <w:t>3456</w:t>
            </w:r>
            <w:r>
              <w:rPr>
                <w:rFonts w:hint="eastAsia" w:ascii="Times New Roman" w:hAnsi="Times New Roman" w:eastAsia="宋体" w:cs="Times New Roman"/>
                <w:bCs/>
                <w:color w:val="auto"/>
                <w:sz w:val="24"/>
                <w:highlight w:val="none"/>
                <w:lang w:eastAsia="zh-CN"/>
              </w:rPr>
              <w:t>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/a。</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场地洒水降尘用水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highlight w:val="none"/>
                <w:lang w:val="en-US" w:eastAsia="zh-CN"/>
              </w:rPr>
              <w:t>根据前文核算</w:t>
            </w:r>
            <w:r>
              <w:rPr>
                <w:rFonts w:hint="default" w:ascii="Times New Roman" w:hAnsi="Times New Roman" w:eastAsia="宋体" w:cs="Times New Roman"/>
                <w:bCs/>
                <w:color w:val="auto"/>
                <w:sz w:val="24"/>
                <w:szCs w:val="24"/>
                <w:highlight w:val="none"/>
                <w:lang w:val="en-US" w:eastAsia="zh-CN"/>
              </w:rPr>
              <w:t>，降尘洒水用水量为</w:t>
            </w:r>
            <w:r>
              <w:rPr>
                <w:rFonts w:hint="eastAsia" w:ascii="Times New Roman" w:hAnsi="Times New Roman" w:eastAsia="宋体" w:cs="Times New Roman"/>
                <w:bCs/>
                <w:color w:val="auto"/>
                <w:sz w:val="24"/>
                <w:szCs w:val="24"/>
                <w:highlight w:val="none"/>
                <w:lang w:val="en-US" w:eastAsia="zh-CN"/>
              </w:rPr>
              <w:t>424</w:t>
            </w:r>
            <w:r>
              <w:rPr>
                <w:rFonts w:hint="default" w:ascii="Times New Roman" w:hAnsi="Times New Roman" w:eastAsia="宋体" w:cs="Times New Roman"/>
                <w:bCs/>
                <w:color w:val="auto"/>
                <w:sz w:val="24"/>
                <w:szCs w:val="24"/>
                <w:highlight w:val="none"/>
                <w:lang w:val="en-US" w:eastAsia="zh-CN"/>
              </w:rPr>
              <w:t>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lang w:val="en-US" w:eastAsia="zh-CN"/>
              </w:rPr>
              <w:t>/a，全部挥发</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洒水降尘用水优先来源于初期雨水收集池，不足部分来源于供水管网，</w:t>
            </w:r>
            <w:r>
              <w:rPr>
                <w:rFonts w:hint="default" w:ascii="Times New Roman" w:hAnsi="Times New Roman" w:eastAsia="宋体" w:cs="Times New Roman"/>
                <w:bCs/>
                <w:color w:val="auto"/>
                <w:sz w:val="24"/>
                <w:szCs w:val="24"/>
                <w:highlight w:val="none"/>
                <w:lang w:eastAsia="zh-CN"/>
              </w:rPr>
              <w:t>全部</w:t>
            </w:r>
            <w:r>
              <w:rPr>
                <w:rFonts w:hint="default" w:ascii="Times New Roman" w:hAnsi="Times New Roman" w:eastAsia="宋体" w:cs="Times New Roman"/>
                <w:bCs/>
                <w:color w:val="auto"/>
                <w:sz w:val="24"/>
                <w:szCs w:val="24"/>
                <w:highlight w:val="none"/>
                <w:lang w:val="en-US" w:eastAsia="zh-CN"/>
              </w:rPr>
              <w:t>蒸发</w:t>
            </w:r>
            <w:r>
              <w:rPr>
                <w:rFonts w:hint="default" w:ascii="Times New Roman" w:hAnsi="Times New Roman" w:eastAsia="宋体" w:cs="Times New Roman"/>
                <w:bCs/>
                <w:color w:val="auto"/>
                <w:sz w:val="24"/>
                <w:szCs w:val="24"/>
                <w:highlight w:val="none"/>
                <w:lang w:eastAsia="zh-CN"/>
              </w:rPr>
              <w:t>损耗，无废水产生。</w:t>
            </w:r>
          </w:p>
          <w:p>
            <w:pPr>
              <w:keepNext w:val="0"/>
              <w:keepLines w:val="0"/>
              <w:pageBreakBefore w:val="0"/>
              <w:widowControl w:val="0"/>
              <w:tabs>
                <w:tab w:val="left" w:pos="79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4"/>
                <w:szCs w:val="24"/>
                <w:highlight w:val="none"/>
                <w:lang w:eastAsia="zh-CN"/>
                <w14:textFill>
                  <w14:solidFill>
                    <w14:schemeClr w14:val="tx1"/>
                  </w14:solidFill>
                </w14:textFill>
              </w:rPr>
              <w:t>）</w:t>
            </w:r>
            <w:r>
              <w:rPr>
                <w:b w:val="0"/>
                <w:bCs/>
                <w:color w:val="000000" w:themeColor="text1"/>
                <w:sz w:val="24"/>
                <w14:textFill>
                  <w14:solidFill>
                    <w14:schemeClr w14:val="tx1"/>
                  </w14:solidFill>
                </w14:textFill>
              </w:rPr>
              <w:t>初期雨水</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运营期物料装卸、运输及生产等过程中会有少量扬尘沉降到地面，下雨天被雨水冲刷后进入雨水收集沟，与项目区外的雨水混合，进入周边沟渠，最终会对项目附近地表水体产生一定影响。</w:t>
            </w:r>
            <w:r>
              <w:rPr>
                <w:rFonts w:hint="eastAsia"/>
                <w:color w:val="000000" w:themeColor="text1"/>
                <w:kern w:val="0"/>
                <w:sz w:val="24"/>
                <w14:textFill>
                  <w14:solidFill>
                    <w14:schemeClr w14:val="tx1"/>
                  </w14:solidFill>
                </w14:textFill>
              </w:rPr>
              <w:t>本次</w:t>
            </w:r>
            <w:r>
              <w:rPr>
                <w:color w:val="000000" w:themeColor="text1"/>
                <w:kern w:val="0"/>
                <w:sz w:val="24"/>
                <w14:textFill>
                  <w14:solidFill>
                    <w14:schemeClr w14:val="tx1"/>
                  </w14:solidFill>
                </w14:textFill>
              </w:rPr>
              <w:t>环评</w:t>
            </w:r>
            <w:r>
              <w:rPr>
                <w:rFonts w:hint="eastAsia"/>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项目雨季对厂区</w:t>
            </w:r>
            <w:r>
              <w:rPr>
                <w:color w:val="000000" w:themeColor="text1"/>
                <w:sz w:val="24"/>
                <w14:textFill>
                  <w14:solidFill>
                    <w14:schemeClr w14:val="tx1"/>
                  </w14:solidFill>
                </w14:textFill>
              </w:rPr>
              <w:t>道路区等露天场地产生的</w:t>
            </w:r>
            <w:r>
              <w:rPr>
                <w:color w:val="000000" w:themeColor="text1"/>
                <w:kern w:val="0"/>
                <w:sz w:val="24"/>
                <w14:textFill>
                  <w14:solidFill>
                    <w14:schemeClr w14:val="tx1"/>
                  </w14:solidFill>
                </w14:textFill>
              </w:rPr>
              <w:t>初期雨水进行收集处理后</w:t>
            </w:r>
            <w:r>
              <w:rPr>
                <w:snapToGrid w:val="0"/>
                <w:color w:val="000000" w:themeColor="text1"/>
                <w:kern w:val="0"/>
                <w:sz w:val="24"/>
                <w14:textFill>
                  <w14:solidFill>
                    <w14:schemeClr w14:val="tx1"/>
                  </w14:solidFill>
                </w14:textFill>
              </w:rPr>
              <w:t>回用于洒水降尘。</w:t>
            </w:r>
            <w:r>
              <w:rPr>
                <w:color w:val="000000" w:themeColor="text1"/>
                <w:kern w:val="0"/>
                <w:sz w:val="24"/>
                <w14:textFill>
                  <w14:solidFill>
                    <w14:schemeClr w14:val="tx1"/>
                  </w14:solidFill>
                </w14:textFill>
              </w:rPr>
              <w:t>本项目</w:t>
            </w:r>
            <w:r>
              <w:rPr>
                <w:rFonts w:hint="eastAsia"/>
                <w:color w:val="000000" w:themeColor="text1"/>
                <w:kern w:val="0"/>
                <w:sz w:val="24"/>
                <w14:textFill>
                  <w14:solidFill>
                    <w14:schemeClr w14:val="tx1"/>
                  </w14:solidFill>
                </w14:textFill>
              </w:rPr>
              <w:t>区域</w:t>
            </w:r>
            <w:r>
              <w:rPr>
                <w:color w:val="000000" w:themeColor="text1"/>
                <w:kern w:val="0"/>
                <w:sz w:val="24"/>
                <w14:textFill>
                  <w14:solidFill>
                    <w14:schemeClr w14:val="tx1"/>
                  </w14:solidFill>
                </w14:textFill>
              </w:rPr>
              <w:t>露天面积</w:t>
            </w:r>
            <w:r>
              <w:rPr>
                <w:rFonts w:hint="eastAsia"/>
                <w:color w:val="000000" w:themeColor="text1"/>
                <w:kern w:val="0"/>
                <w:sz w:val="24"/>
                <w14:textFill>
                  <w14:solidFill>
                    <w14:schemeClr w14:val="tx1"/>
                  </w14:solidFill>
                </w14:textFill>
              </w:rPr>
              <w:t>约</w:t>
            </w:r>
            <w:r>
              <w:rPr>
                <w:color w:val="000000" w:themeColor="text1"/>
                <w:kern w:val="0"/>
                <w:sz w:val="24"/>
                <w14:textFill>
                  <w14:solidFill>
                    <w14:schemeClr w14:val="tx1"/>
                  </w14:solidFill>
                </w14:textFill>
              </w:rPr>
              <w:t>为</w:t>
            </w:r>
            <w:r>
              <w:rPr>
                <w:rFonts w:hint="eastAsia"/>
                <w:color w:val="000000" w:themeColor="text1"/>
                <w:kern w:val="0"/>
                <w:sz w:val="24"/>
                <w:lang w:val="en-US" w:eastAsia="zh-CN"/>
                <w14:textFill>
                  <w14:solidFill>
                    <w14:schemeClr w14:val="tx1"/>
                  </w14:solidFill>
                </w14:textFill>
              </w:rPr>
              <w:t>2000</w:t>
            </w:r>
            <w:r>
              <w:rPr>
                <w:color w:val="000000" w:themeColor="text1"/>
                <w:sz w:val="24"/>
                <w14:textFill>
                  <w14:solidFill>
                    <w14:schemeClr w14:val="tx1"/>
                  </w14:solidFill>
                </w14:textFill>
              </w:rPr>
              <w:t>m²</w:t>
            </w:r>
            <w:r>
              <w:rPr>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项目运营期初期雨水产生量按下式进行计算：</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Q=qF</w:t>
            </w: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其中：Q——初期雨水排放量；</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F——汇水面积</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，项目生产区裸露面积</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14:textFill>
                  <w14:solidFill>
                    <w14:schemeClr w14:val="tx1"/>
                  </w14:solidFill>
                </w14:textFill>
              </w:rPr>
              <w:t>000m²；</w:t>
            </w:r>
          </w:p>
          <w:p>
            <w:pPr>
              <w:widowControl/>
              <w:spacing w:line="360" w:lineRule="auto"/>
              <w:ind w:firstLine="482"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Ψ</w:t>
            </w:r>
            <w:r>
              <w:rPr>
                <w:rFonts w:hint="default" w:ascii="Times New Roman" w:hAnsi="Times New Roman" w:cs="Times New Roman"/>
                <w:color w:val="000000" w:themeColor="text1"/>
                <w:kern w:val="0"/>
                <w:sz w:val="24"/>
                <w14:textFill>
                  <w14:solidFill>
                    <w14:schemeClr w14:val="tx1"/>
                  </w14:solidFill>
                </w14:textFill>
              </w:rPr>
              <w:t>——为径流系数</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0.4-0.9，根据排水设计规范，本项目取0.6</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T——为收水时间，一般取15分钟；</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q——暴雨强度</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q=1534</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1+1.035gP</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t+9.86</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vertAlign w:val="superscript"/>
                <w14:textFill>
                  <w14:solidFill>
                    <w14:schemeClr w14:val="tx1"/>
                  </w14:solidFill>
                </w14:textFill>
              </w:rPr>
              <w:t>0.762</w:t>
            </w:r>
            <w:r>
              <w:rPr>
                <w:rFonts w:hint="default" w:ascii="Times New Roman" w:hAnsi="Times New Roman" w:cs="Times New Roman"/>
                <w:color w:val="000000" w:themeColor="text1"/>
                <w:sz w:val="24"/>
                <w14:textFill>
                  <w14:solidFill>
                    <w14:schemeClr w14:val="tx1"/>
                  </w14:solidFill>
                </w14:textFill>
              </w:rPr>
              <w:t>，其中，P为重现期（此次取1年），t为降雨历时（取15分钟），则计算得暴雨强度q为132.57升/秒·公顷</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p>
          <w:p>
            <w:pPr>
              <w:widowControl/>
              <w:spacing w:line="360" w:lineRule="auto"/>
              <w:ind w:firstLine="480" w:firstLineChars="200"/>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按照上述公式计算，可以估算出项目的雨水流量为</w:t>
            </w:r>
            <w:r>
              <w:rPr>
                <w:rFonts w:hint="default" w:ascii="Times New Roman" w:hAnsi="Times New Roman" w:cs="Times New Roman"/>
                <w:color w:val="000000" w:themeColor="text1"/>
                <w:kern w:val="0"/>
                <w:sz w:val="24"/>
                <w:lang w:val="en-US" w:eastAsia="zh-CN"/>
                <w14:textFill>
                  <w14:solidFill>
                    <w14:schemeClr w14:val="tx1"/>
                  </w14:solidFill>
                </w14:textFill>
              </w:rPr>
              <w:t>57.27</w:t>
            </w:r>
            <w:r>
              <w:rPr>
                <w:rFonts w:hint="default" w:ascii="Times New Roman" w:hAnsi="Times New Roman" w:cs="Times New Roman"/>
                <w:color w:val="000000" w:themeColor="text1"/>
                <w:kern w:val="0"/>
                <w:sz w:val="24"/>
                <w14:textFill>
                  <w14:solidFill>
                    <w14:schemeClr w14:val="tx1"/>
                  </w14:solidFill>
                </w14:textFill>
              </w:rPr>
              <w:t>m³/h，项目收集前15min的初期雨水量为</w:t>
            </w:r>
            <w:r>
              <w:rPr>
                <w:rFonts w:hint="default" w:ascii="Times New Roman" w:hAnsi="Times New Roman" w:cs="Times New Roman"/>
                <w:color w:val="000000" w:themeColor="text1"/>
                <w:kern w:val="0"/>
                <w:sz w:val="24"/>
                <w:lang w:val="en-US" w:eastAsia="zh-CN"/>
                <w14:textFill>
                  <w14:solidFill>
                    <w14:schemeClr w14:val="tx1"/>
                  </w14:solidFill>
                </w14:textFill>
              </w:rPr>
              <w:t>14.32</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/次，</w:t>
            </w:r>
            <w:r>
              <w:rPr>
                <w:rFonts w:hint="default" w:ascii="Times New Roman" w:hAnsi="Times New Roman" w:cs="Times New Roman"/>
                <w:color w:val="000000" w:themeColor="text1"/>
                <w:kern w:val="0"/>
                <w:sz w:val="24"/>
                <w:lang w:val="en-US" w:eastAsia="zh-CN"/>
                <w14:textFill>
                  <w14:solidFill>
                    <w14:schemeClr w14:val="tx1"/>
                  </w14:solidFill>
                </w14:textFill>
              </w:rPr>
              <w:t>1718.4</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14:textFill>
                  <w14:solidFill>
                    <w14:schemeClr w14:val="tx1"/>
                  </w14:solidFill>
                </w14:textFill>
              </w:rPr>
              <w:t>/a</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按雨天为120天计</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项目设置1个容积为50</w:t>
            </w:r>
            <w:r>
              <w:rPr>
                <w:rFonts w:hint="default" w:ascii="Times New Roman" w:hAnsi="Times New Roman" w:cs="Times New Roman"/>
                <w:color w:val="000000" w:themeColor="text1"/>
                <w:kern w:val="0"/>
                <w:sz w:val="24"/>
                <w14:textFill>
                  <w14:solidFill>
                    <w14:schemeClr w14:val="tx1"/>
                  </w14:solidFill>
                </w14:textFill>
              </w:rPr>
              <w:t>m</w:t>
            </w:r>
            <w:r>
              <w:rPr>
                <w:rFonts w:hint="default" w:ascii="Times New Roman" w:hAnsi="Times New Roman" w:cs="Times New Roman"/>
                <w:color w:val="000000" w:themeColor="text1"/>
                <w:kern w:val="0"/>
                <w:sz w:val="24"/>
                <w:vertAlign w:val="superscript"/>
                <w14:textFill>
                  <w14:solidFill>
                    <w14:schemeClr w14:val="tx1"/>
                  </w14:solidFill>
                </w14:textFill>
              </w:rPr>
              <w:t>3</w:t>
            </w:r>
            <w:r>
              <w:rPr>
                <w:rFonts w:hint="default" w:ascii="Times New Roman" w:hAnsi="Times New Roman" w:cs="Times New Roman"/>
                <w:color w:val="000000" w:themeColor="text1"/>
                <w:kern w:val="0"/>
                <w:sz w:val="24"/>
                <w:lang w:val="en-US" w:eastAsia="zh-CN"/>
                <w14:textFill>
                  <w14:solidFill>
                    <w14:schemeClr w14:val="tx1"/>
                  </w14:solidFill>
                </w14:textFill>
              </w:rPr>
              <w:t>雨水收集池。</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cs="Times New Roman"/>
                <w:snapToGrid w:val="0"/>
                <w:color w:val="0000FF"/>
                <w:kern w:val="0"/>
                <w:sz w:val="24"/>
              </w:rPr>
            </w:pPr>
            <w:r>
              <w:rPr>
                <w:rFonts w:hint="default" w:ascii="Times New Roman" w:hAnsi="Times New Roman" w:cs="Times New Roman"/>
                <w:color w:val="000000" w:themeColor="text1"/>
                <w:sz w:val="24"/>
                <w14:textFill>
                  <w14:solidFill>
                    <w14:schemeClr w14:val="tx1"/>
                  </w14:solidFill>
                </w14:textFill>
              </w:rPr>
              <w:t>初期雨水经截排水沟收集后暂存于雨水收集池，经沉淀处理后</w:t>
            </w:r>
            <w:r>
              <w:rPr>
                <w:rFonts w:hint="default" w:ascii="Times New Roman" w:hAnsi="Times New Roman" w:cs="Times New Roman"/>
                <w:snapToGrid w:val="0"/>
                <w:color w:val="000000" w:themeColor="text1"/>
                <w:kern w:val="0"/>
                <w:sz w:val="24"/>
                <w14:textFill>
                  <w14:solidFill>
                    <w14:schemeClr w14:val="tx1"/>
                  </w14:solidFill>
                </w14:textFill>
              </w:rPr>
              <w:t>用于厂区洒水降尘，不外排。</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5）生活用水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kern w:val="0"/>
                <w:sz w:val="24"/>
                <w:highlight w:val="none"/>
                <w:lang w:eastAsia="zh-CN"/>
              </w:rPr>
            </w:pPr>
            <w:r>
              <w:rPr>
                <w:rFonts w:hint="eastAsia" w:ascii="Times New Roman" w:hAnsi="Times New Roman" w:eastAsia="宋体" w:cs="Times New Roman"/>
                <w:bCs/>
                <w:color w:val="auto"/>
                <w:sz w:val="24"/>
                <w:highlight w:val="none"/>
                <w:lang w:val="en-US" w:eastAsia="zh-CN"/>
              </w:rPr>
              <w:t>根据前文核算</w:t>
            </w:r>
            <w:r>
              <w:rPr>
                <w:rFonts w:hint="default" w:ascii="Times New Roman" w:hAnsi="Times New Roman" w:cs="Times New Roman"/>
                <w:sz w:val="24"/>
              </w:rPr>
              <w:t>生活用水量为</w:t>
            </w:r>
            <w:r>
              <w:rPr>
                <w:rFonts w:hint="default"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300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。其中厨房用水量约按生活用水量的30%计算，则厨房用水量为0.</w:t>
            </w:r>
            <w:r>
              <w:rPr>
                <w:rFonts w:hint="default" w:ascii="Times New Roman" w:hAnsi="Times New Roman" w:cs="Times New Roman"/>
                <w:sz w:val="24"/>
                <w:lang w:val="en-US" w:eastAsia="zh-CN"/>
              </w:rPr>
              <w:t>3</w:t>
            </w:r>
            <w:r>
              <w:rPr>
                <w:rFonts w:hint="default" w:ascii="Times New Roman" w:hAnsi="Times New Roman" w:cs="Times New Roman"/>
                <w:sz w:val="24"/>
              </w:rPr>
              <w:t>m³/d、</w:t>
            </w:r>
            <w:r>
              <w:rPr>
                <w:rFonts w:hint="default" w:ascii="Times New Roman" w:hAnsi="Times New Roman" w:cs="Times New Roman"/>
                <w:sz w:val="24"/>
                <w:lang w:val="en-US" w:eastAsia="zh-CN"/>
              </w:rPr>
              <w:t>90</w:t>
            </w:r>
            <w:r>
              <w:rPr>
                <w:rFonts w:hint="default" w:ascii="Times New Roman" w:hAnsi="Times New Roman" w:cs="Times New Roman"/>
                <w:sz w:val="24"/>
              </w:rPr>
              <w:t>m³/a；</w:t>
            </w:r>
            <w:r>
              <w:rPr>
                <w:rFonts w:hint="eastAsia" w:ascii="Times New Roman" w:hAnsi="Times New Roman" w:cs="Times New Roman"/>
                <w:sz w:val="24"/>
                <w:lang w:eastAsia="zh-CN"/>
              </w:rPr>
              <w:t>生活清洗用水量</w:t>
            </w:r>
            <w:r>
              <w:rPr>
                <w:rFonts w:hint="default" w:ascii="Times New Roman" w:hAnsi="Times New Roman" w:cs="Times New Roman"/>
                <w:sz w:val="24"/>
              </w:rPr>
              <w:t>按生活用水量的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7</w:t>
            </w:r>
            <w:r>
              <w:rPr>
                <w:rFonts w:hint="default" w:ascii="Times New Roman" w:hAnsi="Times New Roman" w:cs="Times New Roman"/>
                <w:sz w:val="24"/>
              </w:rPr>
              <w:t>m³/d、</w:t>
            </w:r>
            <w:r>
              <w:rPr>
                <w:rFonts w:hint="default" w:ascii="Times New Roman" w:hAnsi="Times New Roman" w:cs="Times New Roman"/>
                <w:sz w:val="24"/>
                <w:lang w:val="en-US" w:eastAsia="zh-CN"/>
              </w:rPr>
              <w:t>210</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产污系数为0.8，</w:t>
            </w:r>
            <w:r>
              <w:rPr>
                <w:rFonts w:hint="default" w:ascii="Times New Roman" w:hAnsi="Times New Roman" w:cs="Times New Roman"/>
                <w:sz w:val="24"/>
              </w:rPr>
              <w:t>则生活</w:t>
            </w:r>
            <w:r>
              <w:rPr>
                <w:rFonts w:hint="default" w:ascii="Times New Roman" w:hAnsi="Times New Roman" w:cs="Times New Roman"/>
                <w:sz w:val="24"/>
                <w:lang w:val="en-US" w:eastAsia="zh-CN"/>
              </w:rPr>
              <w:t>污</w:t>
            </w:r>
            <w:r>
              <w:rPr>
                <w:rFonts w:hint="default" w:ascii="Times New Roman" w:hAnsi="Times New Roman" w:cs="Times New Roman"/>
                <w:sz w:val="24"/>
              </w:rPr>
              <w:t>水量为</w:t>
            </w:r>
            <w:r>
              <w:rPr>
                <w:rFonts w:hint="default" w:ascii="Times New Roman" w:hAnsi="Times New Roman" w:eastAsia="宋体"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eastAsia="宋体" w:cs="Times New Roman"/>
                <w:color w:val="auto"/>
                <w:kern w:val="0"/>
                <w:sz w:val="24"/>
                <w:szCs w:val="24"/>
                <w:highlight w:val="none"/>
                <w:lang w:val="en-US" w:eastAsia="zh-CN"/>
              </w:rPr>
              <w:t>240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/a</w:t>
            </w:r>
            <w:r>
              <w:rPr>
                <w:rFonts w:hint="default" w:ascii="Times New Roman" w:hAnsi="Times New Roman" w:cs="Times New Roman"/>
                <w:sz w:val="24"/>
              </w:rPr>
              <w:t>。其中厨房</w:t>
            </w:r>
            <w:r>
              <w:rPr>
                <w:rFonts w:hint="default" w:ascii="Times New Roman" w:hAnsi="Times New Roman" w:cs="Times New Roman"/>
                <w:sz w:val="24"/>
                <w:lang w:val="en-US" w:eastAsia="zh-CN"/>
              </w:rPr>
              <w:t>污</w:t>
            </w:r>
            <w:r>
              <w:rPr>
                <w:rFonts w:hint="default" w:ascii="Times New Roman" w:hAnsi="Times New Roman" w:cs="Times New Roman"/>
                <w:sz w:val="24"/>
              </w:rPr>
              <w:t>水量约按生活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水量的30%计算，则厨房用水量为0.</w:t>
            </w:r>
            <w:r>
              <w:rPr>
                <w:rFonts w:hint="default" w:ascii="Times New Roman" w:hAnsi="Times New Roman" w:cs="Times New Roman"/>
                <w:sz w:val="24"/>
                <w:lang w:val="en-US" w:eastAsia="zh-CN"/>
              </w:rPr>
              <w:t>24</w:t>
            </w:r>
            <w:r>
              <w:rPr>
                <w:rFonts w:hint="default" w:ascii="Times New Roman" w:hAnsi="Times New Roman" w:cs="Times New Roman"/>
                <w:sz w:val="24"/>
              </w:rPr>
              <w:t>m³/d、</w:t>
            </w:r>
            <w:r>
              <w:rPr>
                <w:rFonts w:hint="default" w:ascii="Times New Roman" w:hAnsi="Times New Roman" w:cs="Times New Roman"/>
                <w:sz w:val="24"/>
                <w:lang w:val="en-US" w:eastAsia="zh-CN"/>
              </w:rPr>
              <w:t>72</w:t>
            </w:r>
            <w:r>
              <w:rPr>
                <w:rFonts w:hint="default" w:ascii="Times New Roman" w:hAnsi="Times New Roman" w:cs="Times New Roman"/>
                <w:sz w:val="24"/>
              </w:rPr>
              <w:t>m³/a；</w:t>
            </w:r>
            <w:r>
              <w:rPr>
                <w:rFonts w:hint="eastAsia" w:ascii="Times New Roman" w:hAnsi="Times New Roman" w:cs="Times New Roman"/>
                <w:sz w:val="24"/>
                <w:lang w:eastAsia="zh-CN"/>
              </w:rPr>
              <w:t>生活清洗废水量</w:t>
            </w:r>
            <w:r>
              <w:rPr>
                <w:rFonts w:hint="default" w:ascii="Times New Roman" w:hAnsi="Times New Roman" w:cs="Times New Roman"/>
                <w:sz w:val="24"/>
              </w:rPr>
              <w:t>按生活</w:t>
            </w:r>
            <w:r>
              <w:rPr>
                <w:rFonts w:hint="default" w:ascii="Times New Roman" w:hAnsi="Times New Roman" w:cs="Times New Roman"/>
                <w:sz w:val="24"/>
                <w:lang w:val="en-US" w:eastAsia="zh-CN"/>
              </w:rPr>
              <w:t>污</w:t>
            </w:r>
            <w:r>
              <w:rPr>
                <w:rFonts w:hint="default" w:ascii="Times New Roman" w:hAnsi="Times New Roman" w:cs="Times New Roman"/>
                <w:sz w:val="24"/>
              </w:rPr>
              <w:t>水量的</w:t>
            </w:r>
            <w:r>
              <w:rPr>
                <w:rFonts w:hint="default" w:ascii="Times New Roman" w:hAnsi="Times New Roman" w:cs="Times New Roman"/>
                <w:sz w:val="24"/>
                <w:lang w:val="en-US" w:eastAsia="zh-CN"/>
              </w:rPr>
              <w:t>7</w:t>
            </w:r>
            <w:r>
              <w:rPr>
                <w:rFonts w:hint="default" w:ascii="Times New Roman" w:hAnsi="Times New Roman" w:cs="Times New Roman"/>
                <w:sz w:val="24"/>
              </w:rPr>
              <w:t>0%计算，则</w:t>
            </w:r>
            <w:r>
              <w:rPr>
                <w:rFonts w:hint="eastAsia" w:ascii="Times New Roman" w:hAnsi="Times New Roman" w:cs="Times New Roman"/>
                <w:sz w:val="24"/>
                <w:lang w:eastAsia="zh-CN"/>
              </w:rPr>
              <w:t>生活清洗用水量</w:t>
            </w:r>
            <w:r>
              <w:rPr>
                <w:rFonts w:hint="default" w:ascii="Times New Roman" w:hAnsi="Times New Roman" w:cs="Times New Roman"/>
                <w:sz w:val="24"/>
              </w:rPr>
              <w:t>为0.</w:t>
            </w:r>
            <w:r>
              <w:rPr>
                <w:rFonts w:hint="default" w:ascii="Times New Roman" w:hAnsi="Times New Roman" w:cs="Times New Roman"/>
                <w:sz w:val="24"/>
                <w:lang w:val="en-US" w:eastAsia="zh-CN"/>
              </w:rPr>
              <w:t>56</w:t>
            </w:r>
            <w:r>
              <w:rPr>
                <w:rFonts w:hint="default" w:ascii="Times New Roman" w:hAnsi="Times New Roman" w:cs="Times New Roman"/>
                <w:sz w:val="24"/>
              </w:rPr>
              <w:t>m³/d、</w:t>
            </w:r>
            <w:r>
              <w:rPr>
                <w:rFonts w:hint="default" w:ascii="Times New Roman" w:hAnsi="Times New Roman" w:cs="Times New Roman"/>
                <w:sz w:val="24"/>
                <w:lang w:val="en-US" w:eastAsia="zh-CN"/>
              </w:rPr>
              <w:t>168</w:t>
            </w:r>
            <w:r>
              <w:rPr>
                <w:rFonts w:hint="default" w:ascii="Times New Roman" w:hAnsi="Times New Roman" w:cs="Times New Roman"/>
                <w:sz w:val="24"/>
              </w:rPr>
              <w:t>m³/a</w:t>
            </w:r>
            <w:r>
              <w:rPr>
                <w:rFonts w:hint="default" w:ascii="Times New Roman" w:hAnsi="Times New Roman" w:cs="Times New Roman"/>
                <w:sz w:val="24"/>
                <w:lang w:eastAsia="zh-CN"/>
              </w:rPr>
              <w:t>。</w:t>
            </w:r>
            <w:r>
              <w:rPr>
                <w:rFonts w:hint="default" w:ascii="Times New Roman" w:hAnsi="Times New Roman" w:cs="Times New Roman"/>
                <w:sz w:val="24"/>
              </w:rPr>
              <w:t>生活区设置一个不小于0.3m</w:t>
            </w:r>
            <w:r>
              <w:rPr>
                <w:rFonts w:hint="default" w:ascii="Times New Roman" w:hAnsi="Times New Roman" w:cs="Times New Roman"/>
                <w:sz w:val="24"/>
                <w:vertAlign w:val="superscript"/>
              </w:rPr>
              <w:t>3</w:t>
            </w:r>
            <w:r>
              <w:rPr>
                <w:rFonts w:hint="default" w:ascii="Times New Roman" w:hAnsi="Times New Roman" w:cs="Times New Roman"/>
                <w:sz w:val="24"/>
              </w:rPr>
              <w:t>的油水分离器，项目产生的厨房废水经油水分离器（≥0.3m³）隔油处理后</w:t>
            </w:r>
            <w:r>
              <w:rPr>
                <w:rFonts w:hint="eastAsia" w:ascii="Times New Roman" w:hAnsi="Times New Roman" w:cs="Times New Roman"/>
                <w:sz w:val="24"/>
                <w:lang w:eastAsia="zh-CN"/>
              </w:rPr>
              <w:t>连同生活清洗废水</w:t>
            </w:r>
            <w:r>
              <w:rPr>
                <w:rFonts w:hint="default" w:ascii="Times New Roman" w:hAnsi="Times New Roman" w:cs="Times New Roman"/>
                <w:sz w:val="24"/>
              </w:rPr>
              <w:t>一并进入</w:t>
            </w:r>
            <w:r>
              <w:rPr>
                <w:rFonts w:hint="eastAsia" w:ascii="Times New Roman" w:hAnsi="Times New Roman" w:cs="Times New Roman"/>
                <w:sz w:val="24"/>
                <w:lang w:eastAsia="zh-CN"/>
              </w:rPr>
              <w:t>生活污水收集池（1m</w:t>
            </w:r>
            <w:r>
              <w:rPr>
                <w:rFonts w:hint="default" w:ascii="Times New Roman" w:hAnsi="Times New Roman" w:cs="Times New Roman"/>
                <w:sz w:val="24"/>
              </w:rPr>
              <w:t>³），</w:t>
            </w:r>
            <w:r>
              <w:rPr>
                <w:rFonts w:hint="eastAsia" w:ascii="Times New Roman" w:hAnsi="Times New Roman" w:cs="Times New Roman"/>
                <w:sz w:val="24"/>
                <w:lang w:eastAsia="zh-CN"/>
              </w:rPr>
              <w:t>经收集池沉淀后用于厂区洒水降尘</w:t>
            </w:r>
            <w:r>
              <w:rPr>
                <w:rFonts w:hint="default" w:ascii="Times New Roman" w:hAnsi="Times New Roman" w:cs="Times New Roman"/>
                <w:sz w:val="24"/>
              </w:rPr>
              <w:t>，不外排；项目配套设置</w:t>
            </w:r>
            <w:r>
              <w:rPr>
                <w:rFonts w:hint="default" w:ascii="Times New Roman" w:hAnsi="Times New Roman" w:cs="Times New Roman"/>
                <w:sz w:val="24"/>
                <w:lang w:val="en-US" w:eastAsia="zh-CN"/>
              </w:rPr>
              <w:t>旱厕</w:t>
            </w:r>
            <w:r>
              <w:rPr>
                <w:rFonts w:hint="default" w:ascii="Times New Roman" w:hAnsi="Times New Roman" w:cs="Times New Roman"/>
                <w:sz w:val="24"/>
              </w:rPr>
              <w:t>（3m³），定期清掏，用于周边农田施肥。</w:t>
            </w:r>
          </w:p>
          <w:p>
            <w:pPr>
              <w:keepNext/>
              <w:keepLines/>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4-11</w:t>
            </w:r>
            <w:r>
              <w:rPr>
                <w:rFonts w:hint="default" w:ascii="Times New Roman" w:hAnsi="Times New Roman" w:eastAsia="宋体" w:cs="Times New Roman"/>
                <w:b/>
                <w:bCs/>
                <w:color w:val="auto"/>
                <w:sz w:val="21"/>
                <w:szCs w:val="21"/>
                <w:lang w:val="en-US" w:eastAsia="zh-CN"/>
              </w:rPr>
              <w:t>用水量及废水产生量情况一览表</w:t>
            </w:r>
          </w:p>
          <w:tbl>
            <w:tblPr>
              <w:tblStyle w:val="27"/>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27"/>
              <w:gridCol w:w="1294"/>
              <w:gridCol w:w="1177"/>
              <w:gridCol w:w="1056"/>
              <w:gridCol w:w="1044"/>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用水/废水产生环节</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/d</w:t>
                  </w:r>
                  <w:r>
                    <w:rPr>
                      <w:rFonts w:hint="default" w:ascii="Times New Roman" w:hAnsi="Times New Roman" w:eastAsia="宋体" w:cs="Times New Roman"/>
                      <w:b/>
                      <w:bCs/>
                      <w:color w:val="auto"/>
                      <w:kern w:val="2"/>
                      <w:sz w:val="21"/>
                      <w:szCs w:val="21"/>
                      <w:highlight w:val="none"/>
                      <w:lang w:bidi="ar"/>
                    </w:rPr>
                    <w:t>）</w:t>
                  </w:r>
                </w:p>
              </w:tc>
              <w:tc>
                <w:tcPr>
                  <w:tcW w:w="117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2"/>
                      <w:sz w:val="21"/>
                      <w:szCs w:val="21"/>
                      <w:highlight w:val="none"/>
                      <w:lang w:bidi="ar"/>
                    </w:rPr>
                    <w:t>用水量（</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sz w:val="21"/>
                      <w:szCs w:val="21"/>
                      <w:highlight w:val="none"/>
                      <w:vertAlign w:val="baseline"/>
                      <w:lang w:val="en-US" w:eastAsia="zh-CN"/>
                    </w:rPr>
                    <w:t>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/d</w:t>
                  </w:r>
                  <w:r>
                    <w:rPr>
                      <w:rFonts w:hint="default" w:ascii="Times New Roman" w:hAnsi="Times New Roman" w:eastAsia="宋体" w:cs="Times New Roman"/>
                      <w:b/>
                      <w:bCs/>
                      <w:color w:val="auto"/>
                      <w:kern w:val="2"/>
                      <w:sz w:val="21"/>
                      <w:szCs w:val="21"/>
                      <w:highlight w:val="none"/>
                      <w:lang w:eastAsia="zh-CN" w:bidi="ar"/>
                    </w:rPr>
                    <w:t>）</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废水产生量</w:t>
                  </w:r>
                  <w:r>
                    <w:rPr>
                      <w:rFonts w:hint="default" w:ascii="Times New Roman" w:hAnsi="Times New Roman" w:eastAsia="宋体" w:cs="Times New Roman"/>
                      <w:b/>
                      <w:bCs/>
                      <w:color w:val="auto"/>
                      <w:kern w:val="2"/>
                      <w:sz w:val="21"/>
                      <w:szCs w:val="21"/>
                      <w:highlight w:val="none"/>
                      <w:lang w:bidi="ar"/>
                    </w:rPr>
                    <w:t>（</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/a</w:t>
                  </w:r>
                  <w:r>
                    <w:rPr>
                      <w:rFonts w:hint="default" w:ascii="Times New Roman" w:hAnsi="Times New Roman" w:eastAsia="宋体" w:cs="Times New Roman"/>
                      <w:b/>
                      <w:bCs/>
                      <w:color w:val="auto"/>
                      <w:kern w:val="2"/>
                      <w:sz w:val="21"/>
                      <w:szCs w:val="21"/>
                      <w:highlight w:val="none"/>
                      <w:lang w:bidi="ar"/>
                    </w:rPr>
                    <w:t>）</w:t>
                  </w:r>
                </w:p>
              </w:tc>
              <w:tc>
                <w:tcPr>
                  <w:tcW w:w="2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eastAsia="zh-CN" w:bidi="ar"/>
                    </w:rPr>
                  </w:pPr>
                  <w:r>
                    <w:rPr>
                      <w:rFonts w:hint="default" w:ascii="Times New Roman" w:hAnsi="Times New Roman" w:eastAsia="宋体" w:cs="Times New Roman"/>
                      <w:b/>
                      <w:bCs/>
                      <w:color w:val="auto"/>
                      <w:kern w:val="2"/>
                      <w:sz w:val="21"/>
                      <w:szCs w:val="21"/>
                      <w:highlight w:val="none"/>
                      <w:lang w:eastAsia="zh-CN"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1</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洗砂用水</w:t>
                  </w:r>
                </w:p>
              </w:tc>
              <w:tc>
                <w:tcPr>
                  <w:tcW w:w="129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cs="Times New Roman"/>
                      <w:b w:val="0"/>
                      <w:bCs w:val="0"/>
                      <w:color w:val="auto"/>
                      <w:kern w:val="2"/>
                      <w:sz w:val="21"/>
                      <w:szCs w:val="21"/>
                      <w:highlight w:val="none"/>
                      <w:lang w:val="en-US" w:eastAsia="zh-CN" w:bidi="ar"/>
                    </w:rPr>
                    <w:t>22</w:t>
                  </w:r>
                  <w:r>
                    <w:rPr>
                      <w:rFonts w:hint="eastAsia" w:ascii="Times New Roman" w:hAnsi="Times New Roman" w:eastAsia="宋体" w:cs="Times New Roman"/>
                      <w:b w:val="0"/>
                      <w:bCs w:val="0"/>
                      <w:color w:val="auto"/>
                      <w:kern w:val="2"/>
                      <w:sz w:val="21"/>
                      <w:szCs w:val="21"/>
                      <w:highlight w:val="none"/>
                      <w:lang w:val="en-US" w:eastAsia="zh-CN" w:bidi="ar"/>
                    </w:rPr>
                    <w:t>（回用水</w:t>
                  </w:r>
                  <w:r>
                    <w:rPr>
                      <w:rFonts w:hint="eastAsia" w:ascii="Times New Roman" w:hAnsi="Times New Roman" w:cs="Times New Roman"/>
                      <w:bCs/>
                      <w:color w:val="auto"/>
                      <w:sz w:val="21"/>
                      <w:szCs w:val="21"/>
                      <w:highlight w:val="none"/>
                      <w:lang w:val="en-US" w:eastAsia="zh-CN"/>
                    </w:rPr>
                    <w:t>18.67</w:t>
                  </w:r>
                  <w:r>
                    <w:rPr>
                      <w:rFonts w:hint="default" w:ascii="Times New Roman" w:hAnsi="Times New Roman" w:eastAsia="宋体" w:cs="Times New Roman"/>
                      <w:bCs/>
                      <w:color w:val="auto"/>
                      <w:sz w:val="21"/>
                      <w:szCs w:val="21"/>
                      <w:highlight w:val="none"/>
                    </w:rPr>
                    <w:t>m</w:t>
                  </w:r>
                  <w:r>
                    <w:rPr>
                      <w:rFonts w:hint="eastAsia"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 w:val="0"/>
                      <w:bCs w:val="0"/>
                      <w:color w:val="auto"/>
                      <w:kern w:val="2"/>
                      <w:sz w:val="21"/>
                      <w:szCs w:val="21"/>
                      <w:highlight w:val="none"/>
                      <w:lang w:val="en-US" w:eastAsia="zh-CN" w:bidi="ar"/>
                    </w:rPr>
                    <w:t>补充水量</w:t>
                  </w:r>
                  <w:r>
                    <w:rPr>
                      <w:rFonts w:hint="eastAsia" w:ascii="Times New Roman" w:hAnsi="Times New Roman" w:cs="Times New Roman"/>
                      <w:bCs/>
                      <w:color w:val="auto"/>
                      <w:sz w:val="21"/>
                      <w:szCs w:val="21"/>
                      <w:highlight w:val="none"/>
                      <w:lang w:val="en-US" w:eastAsia="zh-CN"/>
                    </w:rPr>
                    <w:t>3.29</w:t>
                  </w:r>
                  <w:r>
                    <w:rPr>
                      <w:rFonts w:hint="eastAsia" w:ascii="Times New Roman" w:hAnsi="Times New Roman" w:eastAsia="宋体" w:cs="Times New Roman"/>
                      <w:b w:val="0"/>
                      <w:bCs w:val="0"/>
                      <w:color w:val="auto"/>
                      <w:kern w:val="2"/>
                      <w:sz w:val="21"/>
                      <w:szCs w:val="21"/>
                      <w:highlight w:val="none"/>
                      <w:lang w:val="en-US" w:eastAsia="zh-CN" w:bidi="ar"/>
                    </w:rPr>
                    <w:t>m</w:t>
                  </w:r>
                  <w:r>
                    <w:rPr>
                      <w:rFonts w:hint="eastAsia" w:ascii="Times New Roman" w:hAnsi="Times New Roman" w:eastAsia="宋体" w:cs="Times New Roman"/>
                      <w:b w:val="0"/>
                      <w:bCs w:val="0"/>
                      <w:color w:val="auto"/>
                      <w:kern w:val="2"/>
                      <w:sz w:val="21"/>
                      <w:szCs w:val="21"/>
                      <w:highlight w:val="none"/>
                      <w:vertAlign w:val="superscript"/>
                      <w:lang w:val="en-US" w:eastAsia="zh-CN" w:bidi="ar"/>
                    </w:rPr>
                    <w:t>3</w:t>
                  </w:r>
                  <w:r>
                    <w:rPr>
                      <w:rFonts w:hint="default" w:ascii="Times New Roman" w:hAnsi="Times New Roman" w:eastAsia="宋体" w:cs="Times New Roman"/>
                      <w:bCs/>
                      <w:color w:val="auto"/>
                      <w:sz w:val="21"/>
                      <w:szCs w:val="21"/>
                      <w:highlight w:val="none"/>
                    </w:rPr>
                    <w:t>/d</w:t>
                  </w:r>
                  <w:r>
                    <w:rPr>
                      <w:rFonts w:hint="eastAsia" w:ascii="Times New Roman" w:hAnsi="Times New Roman" w:eastAsia="宋体" w:cs="Times New Roman"/>
                      <w:b w:val="0"/>
                      <w:bCs w:val="0"/>
                      <w:color w:val="auto"/>
                      <w:kern w:val="2"/>
                      <w:sz w:val="21"/>
                      <w:szCs w:val="21"/>
                      <w:highlight w:val="none"/>
                      <w:lang w:val="en-US" w:eastAsia="zh-CN" w:bidi="ar"/>
                    </w:rPr>
                    <w:t>）</w:t>
                  </w:r>
                </w:p>
              </w:tc>
              <w:tc>
                <w:tcPr>
                  <w:tcW w:w="117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bidi="ar"/>
                    </w:rPr>
                  </w:pPr>
                  <w:r>
                    <w:rPr>
                      <w:rFonts w:hint="eastAsia" w:ascii="Times New Roman" w:hAnsi="Times New Roman"/>
                      <w:b w:val="0"/>
                      <w:bCs w:val="0"/>
                      <w:color w:val="auto"/>
                      <w:kern w:val="2"/>
                      <w:sz w:val="21"/>
                      <w:szCs w:val="21"/>
                      <w:highlight w:val="none"/>
                      <w:lang w:val="en-US" w:eastAsia="zh-CN" w:bidi="ar"/>
                    </w:rPr>
                    <w:t>新鲜水补充量988.24m</w:t>
                  </w:r>
                  <w:r>
                    <w:rPr>
                      <w:rFonts w:hint="eastAsia" w:ascii="Times New Roman" w:hAnsi="Times New Roman"/>
                      <w:b w:val="0"/>
                      <w:bCs w:val="0"/>
                      <w:color w:val="auto"/>
                      <w:kern w:val="2"/>
                      <w:sz w:val="21"/>
                      <w:szCs w:val="21"/>
                      <w:highlight w:val="none"/>
                      <w:vertAlign w:val="superscript"/>
                      <w:lang w:val="en-US" w:eastAsia="zh-CN" w:bidi="ar"/>
                    </w:rPr>
                    <w:t>3</w:t>
                  </w:r>
                  <w:r>
                    <w:rPr>
                      <w:rFonts w:hint="eastAsia" w:ascii="Times New Roman" w:hAnsi="Times New Roman"/>
                      <w:b w:val="0"/>
                      <w:bCs w:val="0"/>
                      <w:color w:val="auto"/>
                      <w:kern w:val="2"/>
                      <w:sz w:val="21"/>
                      <w:szCs w:val="21"/>
                      <w:highlight w:val="none"/>
                      <w:vertAlign w:val="baseline"/>
                      <w:lang w:val="en-US" w:eastAsia="zh-CN" w:bidi="ar"/>
                    </w:rPr>
                    <w:t>/a</w:t>
                  </w:r>
                </w:p>
              </w:tc>
              <w:tc>
                <w:tcPr>
                  <w:tcW w:w="105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18.67</w:t>
                  </w:r>
                </w:p>
              </w:tc>
              <w:tc>
                <w:tcPr>
                  <w:tcW w:w="1044"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5600</w:t>
                  </w:r>
                </w:p>
              </w:tc>
              <w:tc>
                <w:tcPr>
                  <w:tcW w:w="2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
                    </w:rPr>
                  </w:pPr>
                  <w:r>
                    <w:rPr>
                      <w:rFonts w:hint="eastAsia" w:ascii="Times New Roman" w:hAnsi="Times New Roman" w:cs="Times New Roman"/>
                      <w:b w:val="0"/>
                      <w:bCs w:val="0"/>
                      <w:color w:val="auto"/>
                      <w:kern w:val="2"/>
                      <w:sz w:val="21"/>
                      <w:szCs w:val="21"/>
                      <w:highlight w:val="none"/>
                      <w:lang w:val="en-US" w:eastAsia="zh-CN" w:bidi="ar"/>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11.52</w:t>
                  </w:r>
                </w:p>
              </w:tc>
              <w:tc>
                <w:tcPr>
                  <w:tcW w:w="117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3456</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192"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eastAsia="zh-CN" w:bidi="ar"/>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场地洒水降尘用水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w:t>
                  </w:r>
                </w:p>
              </w:tc>
              <w:tc>
                <w:tcPr>
                  <w:tcW w:w="117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424</w:t>
                  </w:r>
                </w:p>
              </w:tc>
              <w:tc>
                <w:tcPr>
                  <w:tcW w:w="1056"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104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全部损耗，无废水产生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3</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雨水</w:t>
                  </w:r>
                </w:p>
              </w:tc>
              <w:tc>
                <w:tcPr>
                  <w:tcW w:w="1294"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17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2100"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14.32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次</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回用于降尘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4</w:t>
                  </w:r>
                </w:p>
              </w:tc>
              <w:tc>
                <w:tcPr>
                  <w:tcW w:w="1327"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员工生活用水</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p>
              </w:tc>
              <w:tc>
                <w:tcPr>
                  <w:tcW w:w="11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300</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r>
                    <w:rPr>
                      <w:rFonts w:hint="eastAsia" w:ascii="Times New Roman" w:hAnsi="Times New Roman" w:eastAsia="宋体" w:cs="Times New Roman"/>
                      <w:bCs/>
                      <w:color w:val="auto"/>
                      <w:sz w:val="21"/>
                      <w:szCs w:val="21"/>
                      <w:highlight w:val="none"/>
                      <w:lang w:val="en-US" w:eastAsia="zh-CN"/>
                    </w:rPr>
                    <w:t>8</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240</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生活污水收集池、旱厕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54" w:type="dxa"/>
                  <w:gridSpan w:val="2"/>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合计</w:t>
                  </w:r>
                </w:p>
              </w:tc>
              <w:tc>
                <w:tcPr>
                  <w:tcW w:w="12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36.52</w:t>
                  </w:r>
                </w:p>
              </w:tc>
              <w:tc>
                <w:tcPr>
                  <w:tcW w:w="11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5168.24</w:t>
                  </w:r>
                </w:p>
              </w:tc>
              <w:tc>
                <w:tcPr>
                  <w:tcW w:w="10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19.47</w:t>
                  </w:r>
                </w:p>
              </w:tc>
              <w:tc>
                <w:tcPr>
                  <w:tcW w:w="10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5840</w:t>
                  </w:r>
                </w:p>
              </w:tc>
              <w:tc>
                <w:tcPr>
                  <w:tcW w:w="2192" w:type="dxa"/>
                  <w:noWrap w:val="0"/>
                  <w:vAlign w:val="center"/>
                </w:tcPr>
                <w:p>
                  <w:pPr>
                    <w:pStyle w:val="7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t>
                  </w:r>
                </w:p>
              </w:tc>
            </w:tr>
          </w:tbl>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color w:val="auto"/>
                <w:kern w:val="0"/>
                <w:sz w:val="24"/>
                <w:highlight w:val="none"/>
              </w:rPr>
            </w:pPr>
            <w:r>
              <w:rPr>
                <w:rFonts w:hint="eastAsia" w:ascii="Times New Roman" w:hAnsi="Times New Roman" w:eastAsia="宋体" w:cs="Times New Roman"/>
                <w:b w:val="0"/>
                <w:bCs/>
                <w:color w:val="auto"/>
                <w:kern w:val="0"/>
                <w:sz w:val="24"/>
                <w:highlight w:val="none"/>
                <w:lang w:val="en-US" w:eastAsia="zh-CN"/>
              </w:rPr>
              <w:t>5</w:t>
            </w:r>
            <w:r>
              <w:rPr>
                <w:rFonts w:hint="default" w:ascii="Times New Roman" w:hAnsi="Times New Roman" w:eastAsia="宋体" w:cs="Times New Roman"/>
                <w:b w:val="0"/>
                <w:bCs/>
                <w:color w:val="auto"/>
                <w:kern w:val="0"/>
                <w:sz w:val="24"/>
                <w:highlight w:val="none"/>
                <w:lang w:val="en-US" w:eastAsia="zh-CN"/>
              </w:rPr>
              <w:t>、</w:t>
            </w:r>
            <w:r>
              <w:rPr>
                <w:rFonts w:hint="default" w:ascii="Times New Roman" w:hAnsi="Times New Roman" w:eastAsia="宋体" w:cs="Times New Roman"/>
                <w:b w:val="0"/>
                <w:bCs/>
                <w:color w:val="auto"/>
                <w:kern w:val="0"/>
                <w:sz w:val="24"/>
                <w:highlight w:val="none"/>
              </w:rPr>
              <w:t>废水排放口基本情况</w:t>
            </w:r>
          </w:p>
          <w:p>
            <w:pPr>
              <w:pStyle w:val="72"/>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本项目无废水外排，无废水排放口。</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2"/>
              <w:textAlignment w:val="auto"/>
              <w:rPr>
                <w:rFonts w:hint="default" w:ascii="Times New Roman" w:hAnsi="Times New Roman" w:eastAsia="宋体" w:cs="Times New Roman"/>
                <w:b w:val="0"/>
                <w:bCs w:val="0"/>
                <w:color w:val="auto"/>
                <w:kern w:val="0"/>
                <w:sz w:val="24"/>
                <w:highlight w:val="none"/>
                <w:lang w:eastAsia="zh-CN"/>
              </w:rPr>
            </w:pPr>
            <w:r>
              <w:rPr>
                <w:rFonts w:hint="eastAsia" w:ascii="Times New Roman" w:hAnsi="Times New Roman" w:eastAsia="宋体" w:cs="Times New Roman"/>
                <w:b w:val="0"/>
                <w:bCs w:val="0"/>
                <w:color w:val="auto"/>
                <w:kern w:val="0"/>
                <w:sz w:val="24"/>
                <w:highlight w:val="none"/>
                <w:lang w:val="en-US" w:eastAsia="zh-CN"/>
              </w:rPr>
              <w:t>6</w:t>
            </w:r>
            <w:r>
              <w:rPr>
                <w:rFonts w:hint="default" w:ascii="Times New Roman" w:hAnsi="Times New Roman" w:eastAsia="宋体" w:cs="Times New Roman"/>
                <w:b w:val="0"/>
                <w:bCs w:val="0"/>
                <w:color w:val="auto"/>
                <w:kern w:val="0"/>
                <w:sz w:val="24"/>
                <w:highlight w:val="none"/>
                <w:lang w:val="en-US" w:eastAsia="zh-CN"/>
              </w:rPr>
              <w:t>、</w:t>
            </w:r>
            <w:r>
              <w:rPr>
                <w:rFonts w:hint="default" w:ascii="Times New Roman" w:hAnsi="Times New Roman" w:eastAsia="宋体" w:cs="Times New Roman"/>
                <w:b w:val="0"/>
                <w:bCs w:val="0"/>
                <w:color w:val="auto"/>
                <w:kern w:val="0"/>
                <w:sz w:val="24"/>
                <w:highlight w:val="none"/>
                <w:lang w:eastAsia="zh-CN"/>
              </w:rPr>
              <w:t>监测要求</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color w:val="auto"/>
                <w:lang w:val="en-US" w:eastAsia="zh-CN"/>
              </w:rPr>
            </w:pPr>
            <w:r>
              <w:rPr>
                <w:rFonts w:hint="default" w:ascii="Times New Roman" w:hAnsi="Times New Roman" w:eastAsia="宋体" w:cs="Times New Roman"/>
                <w:bCs/>
                <w:color w:val="auto"/>
                <w:kern w:val="21"/>
                <w:sz w:val="24"/>
                <w:szCs w:val="24"/>
                <w:lang w:val="en-US" w:eastAsia="zh-CN"/>
              </w:rPr>
              <w:t>项目初期雨水经排水沟收集后，进入初期雨水收集池沉淀处理回用于洒水降尘，不外排。项目生产中，破碎</w:t>
            </w:r>
            <w:r>
              <w:rPr>
                <w:rFonts w:hint="eastAsia" w:ascii="Times New Roman" w:hAnsi="Times New Roman" w:eastAsia="宋体" w:cs="Times New Roman"/>
                <w:bCs/>
                <w:color w:val="auto"/>
                <w:kern w:val="21"/>
                <w:sz w:val="24"/>
                <w:szCs w:val="24"/>
                <w:lang w:val="en-US" w:eastAsia="zh-CN"/>
              </w:rPr>
              <w:t>、筛分</w:t>
            </w:r>
            <w:r>
              <w:rPr>
                <w:rFonts w:hint="default" w:ascii="Times New Roman" w:hAnsi="Times New Roman" w:eastAsia="宋体" w:cs="Times New Roman"/>
                <w:bCs/>
                <w:color w:val="auto"/>
                <w:kern w:val="21"/>
                <w:sz w:val="24"/>
                <w:szCs w:val="24"/>
                <w:lang w:val="en-US" w:eastAsia="zh-CN"/>
              </w:rPr>
              <w:t>工序采取喷淋降尘，</w:t>
            </w:r>
            <w:r>
              <w:rPr>
                <w:rFonts w:hint="eastAsia" w:ascii="Times New Roman" w:hAnsi="Times New Roman" w:eastAsia="宋体" w:cs="Times New Roman"/>
                <w:bCs/>
                <w:color w:val="auto"/>
                <w:kern w:val="21"/>
                <w:sz w:val="24"/>
                <w:szCs w:val="24"/>
                <w:lang w:val="en-US" w:eastAsia="zh-CN"/>
              </w:rPr>
              <w:t>降尘用水全部随物料带走</w:t>
            </w:r>
            <w:r>
              <w:rPr>
                <w:rFonts w:hint="default" w:ascii="Times New Roman" w:hAnsi="Times New Roman" w:eastAsia="宋体" w:cs="Times New Roman"/>
                <w:bCs/>
                <w:color w:val="auto"/>
                <w:kern w:val="21"/>
                <w:sz w:val="24"/>
                <w:szCs w:val="24"/>
                <w:lang w:val="en-US" w:eastAsia="zh-CN"/>
              </w:rPr>
              <w:t>，</w:t>
            </w:r>
            <w:r>
              <w:rPr>
                <w:rFonts w:hint="eastAsia" w:ascii="Times New Roman" w:hAnsi="Times New Roman" w:eastAsia="宋体" w:cs="Times New Roman"/>
                <w:bCs/>
                <w:color w:val="auto"/>
                <w:kern w:val="21"/>
                <w:sz w:val="24"/>
                <w:szCs w:val="24"/>
                <w:lang w:val="en-US" w:eastAsia="zh-CN"/>
              </w:rPr>
              <w:t>洗砂废水循环使用，不外排</w:t>
            </w:r>
            <w:r>
              <w:rPr>
                <w:rFonts w:hint="default"/>
                <w:color w:val="auto"/>
                <w:sz w:val="24"/>
                <w:highlight w:val="none"/>
                <w:lang w:val="en-US" w:eastAsia="zh-CN"/>
              </w:rPr>
              <w:t>；</w:t>
            </w:r>
            <w:r>
              <w:rPr>
                <w:rFonts w:hint="default" w:ascii="Times New Roman" w:hAnsi="Times New Roman" w:cs="Times New Roman"/>
                <w:sz w:val="24"/>
              </w:rPr>
              <w:t>生活区设置一个不小于0.3m</w:t>
            </w:r>
            <w:r>
              <w:rPr>
                <w:rFonts w:hint="default" w:ascii="Times New Roman" w:hAnsi="Times New Roman" w:cs="Times New Roman"/>
                <w:sz w:val="24"/>
                <w:vertAlign w:val="superscript"/>
              </w:rPr>
              <w:t>3</w:t>
            </w:r>
            <w:r>
              <w:rPr>
                <w:rFonts w:hint="default" w:ascii="Times New Roman" w:hAnsi="Times New Roman" w:cs="Times New Roman"/>
                <w:sz w:val="24"/>
              </w:rPr>
              <w:t>的油水分离器，项目产生的厨房废水经油水分离器（≥0.3m³）隔油处理后</w:t>
            </w:r>
            <w:r>
              <w:rPr>
                <w:rFonts w:hint="eastAsia" w:ascii="Times New Roman" w:hAnsi="Times New Roman" w:cs="Times New Roman"/>
                <w:sz w:val="24"/>
                <w:lang w:eastAsia="zh-CN"/>
              </w:rPr>
              <w:t>连同生活清洗废水</w:t>
            </w:r>
            <w:r>
              <w:rPr>
                <w:rFonts w:hint="default" w:ascii="Times New Roman" w:hAnsi="Times New Roman" w:cs="Times New Roman"/>
                <w:sz w:val="24"/>
              </w:rPr>
              <w:t>一并进入</w:t>
            </w:r>
            <w:r>
              <w:rPr>
                <w:rFonts w:hint="eastAsia" w:ascii="Times New Roman" w:hAnsi="Times New Roman" w:cs="Times New Roman"/>
                <w:sz w:val="24"/>
                <w:lang w:eastAsia="zh-CN"/>
              </w:rPr>
              <w:t>生活污水收集池（1m</w:t>
            </w:r>
            <w:r>
              <w:rPr>
                <w:rFonts w:hint="default" w:ascii="Times New Roman" w:hAnsi="Times New Roman" w:cs="Times New Roman"/>
                <w:sz w:val="24"/>
              </w:rPr>
              <w:t>³），</w:t>
            </w:r>
            <w:r>
              <w:rPr>
                <w:rFonts w:hint="eastAsia" w:ascii="Times New Roman" w:hAnsi="Times New Roman" w:cs="Times New Roman"/>
                <w:sz w:val="24"/>
                <w:lang w:eastAsia="zh-CN"/>
              </w:rPr>
              <w:t>经收集池沉淀后用于厂区洒水降尘</w:t>
            </w:r>
            <w:r>
              <w:rPr>
                <w:rFonts w:hint="default" w:ascii="Times New Roman" w:hAnsi="Times New Roman" w:cs="Times New Roman"/>
                <w:sz w:val="24"/>
              </w:rPr>
              <w:t>，不外排；项目配套设置</w:t>
            </w:r>
            <w:r>
              <w:rPr>
                <w:rFonts w:hint="default" w:ascii="Times New Roman" w:hAnsi="Times New Roman" w:cs="Times New Roman"/>
                <w:sz w:val="24"/>
                <w:lang w:val="en-US" w:eastAsia="zh-CN"/>
              </w:rPr>
              <w:t>旱厕</w:t>
            </w:r>
            <w:r>
              <w:rPr>
                <w:rFonts w:hint="default" w:ascii="Times New Roman" w:hAnsi="Times New Roman" w:cs="Times New Roman"/>
                <w:sz w:val="24"/>
              </w:rPr>
              <w:t>（3m³），定期清掏，用于周边农田施肥。</w:t>
            </w:r>
            <w:r>
              <w:rPr>
                <w:rFonts w:hint="eastAsia" w:ascii="Times New Roman" w:hAnsi="Times New Roman" w:eastAsia="宋体" w:cs="Times New Roman"/>
                <w:bCs/>
                <w:color w:val="auto"/>
                <w:kern w:val="0"/>
                <w:sz w:val="24"/>
                <w:highlight w:val="none"/>
                <w:lang w:val="en-US" w:eastAsia="zh-CN"/>
              </w:rPr>
              <w:t>无废水外排，因此不设监测计划。</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2"/>
              <w:textAlignment w:val="auto"/>
              <w:rPr>
                <w:rFonts w:hint="default" w:ascii="Times New Roman" w:hAnsi="Times New Roman" w:cs="Times New Roman"/>
                <w:b w:val="0"/>
                <w:bCs/>
                <w:color w:val="auto"/>
                <w:sz w:val="24"/>
                <w:szCs w:val="24"/>
                <w:lang w:val="zh-CN"/>
              </w:rPr>
            </w:pPr>
            <w:r>
              <w:rPr>
                <w:rFonts w:hint="eastAsia" w:ascii="Times New Roman" w:hAnsi="Times New Roman" w:cs="Times New Roman"/>
                <w:b w:val="0"/>
                <w:bCs/>
                <w:color w:val="auto"/>
                <w:sz w:val="24"/>
                <w:szCs w:val="24"/>
                <w:lang w:val="en-US" w:eastAsia="zh-CN"/>
              </w:rPr>
              <w:t>7、</w:t>
            </w:r>
            <w:r>
              <w:rPr>
                <w:rFonts w:hint="default" w:ascii="Times New Roman" w:hAnsi="Times New Roman" w:cs="Times New Roman"/>
                <w:b w:val="0"/>
                <w:bCs/>
                <w:color w:val="auto"/>
                <w:sz w:val="24"/>
                <w:szCs w:val="24"/>
                <w:lang w:val="zh-CN"/>
              </w:rPr>
              <w:t>废水处理设施规模合理性分析</w:t>
            </w:r>
          </w:p>
          <w:p>
            <w:pPr>
              <w:spacing w:line="360" w:lineRule="auto"/>
              <w:ind w:firstLine="482"/>
              <w:rPr>
                <w:rFonts w:hint="default" w:ascii="Times New Roman" w:hAnsi="Times New Roman" w:cs="Times New Roman"/>
                <w:b/>
                <w:bCs/>
                <w:snapToGrid/>
                <w:color w:val="auto"/>
                <w:spacing w:val="0"/>
                <w:sz w:val="24"/>
              </w:rPr>
            </w:pPr>
            <w:r>
              <w:rPr>
                <w:rFonts w:hint="default" w:ascii="Times New Roman" w:hAnsi="Times New Roman" w:cs="Times New Roman"/>
                <w:b/>
                <w:bCs/>
                <w:snapToGrid/>
                <w:color w:val="auto"/>
                <w:spacing w:val="0"/>
                <w:sz w:val="24"/>
              </w:rPr>
              <w:t>①油水分离器</w:t>
            </w:r>
          </w:p>
          <w:p>
            <w:pPr>
              <w:spacing w:line="360" w:lineRule="auto"/>
              <w:ind w:firstLine="482"/>
              <w:rPr>
                <w:rFonts w:hint="default" w:ascii="Times New Roman" w:hAnsi="Times New Roman" w:cs="Times New Roman"/>
                <w:snapToGrid/>
                <w:color w:val="auto"/>
                <w:spacing w:val="0"/>
                <w:sz w:val="24"/>
              </w:rPr>
            </w:pPr>
            <w:r>
              <w:rPr>
                <w:rFonts w:hint="default" w:ascii="Times New Roman" w:hAnsi="Times New Roman" w:cs="Times New Roman"/>
                <w:color w:val="auto"/>
                <w:sz w:val="24"/>
              </w:rPr>
              <w:t>厨房用水量约按生活用水量的30%计算</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则厨房废水为0.</w:t>
            </w:r>
            <w:r>
              <w:rPr>
                <w:rFonts w:hint="eastAsia" w:ascii="Times New Roman" w:hAnsi="Times New Roman" w:cs="Times New Roman"/>
                <w:color w:val="auto"/>
                <w:sz w:val="24"/>
                <w:lang w:val="en-US" w:eastAsia="zh-CN"/>
              </w:rPr>
              <w:t>24</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default" w:ascii="Times New Roman" w:hAnsi="Times New Roman" w:cs="Times New Roman"/>
                <w:snapToGrid/>
                <w:color w:val="auto"/>
                <w:spacing w:val="0"/>
                <w:sz w:val="24"/>
              </w:rPr>
              <w:t>。根据《饮食业环境保护技术规范》（HJ554-2010），含油污水应经隔油设施处理后排放。当选用隔油池时，隔油池应符合下列要求：</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含油污水的水力停留时间不宜小于0.5h；</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池内水流流速不宜大于0.005m/s；</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池内分格宜取二档三格；</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人工除油的隔油池内存油部分容积不宜小于该池有效容积的25%；隔油池出水管管底至池底的深度，不宜小于0.6m；</w:t>
            </w:r>
          </w:p>
          <w:p>
            <w:pPr>
              <w:numPr>
                <w:ilvl w:val="0"/>
                <w:numId w:val="5"/>
              </w:numPr>
              <w:spacing w:line="360" w:lineRule="auto"/>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与隔油池相连的管道均应防酸碱、耐高温。</w:t>
            </w:r>
          </w:p>
          <w:p>
            <w:pPr>
              <w:spacing w:line="360" w:lineRule="auto"/>
              <w:ind w:left="602"/>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当选用隔油器时，隔油器的设计应符合CJ/T295的规定。</w:t>
            </w:r>
          </w:p>
          <w:p>
            <w:pPr>
              <w:spacing w:line="360" w:lineRule="auto"/>
              <w:ind w:firstLine="482"/>
              <w:rPr>
                <w:rFonts w:hint="default" w:ascii="Times New Roman" w:hAnsi="Times New Roman" w:cs="Times New Roman"/>
                <w:snapToGrid/>
                <w:color w:val="auto"/>
                <w:spacing w:val="0"/>
                <w:sz w:val="24"/>
              </w:rPr>
            </w:pPr>
            <w:r>
              <w:rPr>
                <w:rFonts w:hint="default" w:ascii="Times New Roman" w:hAnsi="Times New Roman" w:cs="Times New Roman"/>
                <w:snapToGrid/>
                <w:color w:val="auto"/>
                <w:spacing w:val="0"/>
                <w:sz w:val="24"/>
              </w:rPr>
              <w:t>根据业主提供的资料，本项目拟设置油水分离器。环评考虑1.2的变化系数，建议设置不小于0.3m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的油水分离器＞含油废水产生量0.</w:t>
            </w:r>
            <w:r>
              <w:rPr>
                <w:rFonts w:hint="default" w:ascii="Times New Roman" w:hAnsi="Times New Roman" w:cs="Times New Roman"/>
                <w:snapToGrid/>
                <w:color w:val="auto"/>
                <w:spacing w:val="0"/>
                <w:sz w:val="24"/>
                <w:lang w:val="en-US" w:eastAsia="zh-CN"/>
              </w:rPr>
              <w:t>22</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/d，油水分离器完全可容纳厨房废水的产生，规模可行。</w:t>
            </w:r>
          </w:p>
          <w:p>
            <w:pPr>
              <w:spacing w:line="360" w:lineRule="auto"/>
              <w:ind w:firstLine="482"/>
              <w:rPr>
                <w:rFonts w:hint="default" w:ascii="Times New Roman" w:hAnsi="Times New Roman" w:cs="Times New Roman"/>
                <w:b/>
                <w:bCs/>
                <w:snapToGrid/>
                <w:color w:val="auto"/>
                <w:spacing w:val="0"/>
                <w:sz w:val="24"/>
              </w:rPr>
            </w:pPr>
            <w:r>
              <w:rPr>
                <w:rFonts w:hint="default" w:ascii="Times New Roman" w:hAnsi="Times New Roman" w:cs="Times New Roman"/>
                <w:b/>
                <w:bCs/>
                <w:snapToGrid/>
                <w:color w:val="auto"/>
                <w:spacing w:val="0"/>
                <w:sz w:val="24"/>
              </w:rPr>
              <w:t>②生活污水收集池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zh-CN"/>
              </w:rPr>
            </w:pPr>
            <w:r>
              <w:rPr>
                <w:rFonts w:hint="default" w:ascii="Times New Roman" w:hAnsi="Times New Roman" w:cs="Times New Roman"/>
                <w:snapToGrid/>
                <w:color w:val="auto"/>
                <w:spacing w:val="0"/>
                <w:sz w:val="24"/>
              </w:rPr>
              <w:t>项目设置1个</w:t>
            </w:r>
            <w:r>
              <w:rPr>
                <w:rFonts w:hint="eastAsia" w:ascii="Times New Roman" w:hAnsi="Times New Roman" w:cs="Times New Roman"/>
                <w:snapToGrid/>
                <w:color w:val="auto"/>
                <w:spacing w:val="0"/>
                <w:sz w:val="24"/>
                <w:lang w:val="en-US" w:eastAsia="zh-CN"/>
              </w:rPr>
              <w:t>1</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的生活污水收集池</w:t>
            </w:r>
            <w:r>
              <w:rPr>
                <w:rFonts w:hint="default" w:ascii="Times New Roman" w:hAnsi="Times New Roman" w:cs="Times New Roman"/>
                <w:snapToGrid/>
                <w:color w:val="auto"/>
                <w:spacing w:val="0"/>
                <w:sz w:val="24"/>
                <w:lang w:eastAsia="zh-CN"/>
              </w:rPr>
              <w:t>，</w:t>
            </w:r>
            <w:r>
              <w:rPr>
                <w:rFonts w:hint="default" w:ascii="Times New Roman" w:hAnsi="Times New Roman" w:cs="Times New Roman"/>
                <w:snapToGrid/>
                <w:color w:val="auto"/>
                <w:spacing w:val="0"/>
                <w:sz w:val="24"/>
              </w:rPr>
              <w:t>根据工程分析，运营期进入生活污水收集池污水量为</w:t>
            </w:r>
            <w:r>
              <w:rPr>
                <w:rFonts w:hint="default" w:ascii="Times New Roman" w:hAnsi="Times New Roman" w:cs="Times New Roman"/>
                <w:snapToGrid/>
                <w:color w:val="auto"/>
                <w:spacing w:val="0"/>
                <w:sz w:val="24"/>
                <w:lang w:val="en-US" w:eastAsia="zh-CN"/>
              </w:rPr>
              <w:t>0.</w:t>
            </w:r>
            <w:r>
              <w:rPr>
                <w:rFonts w:hint="eastAsia" w:ascii="Times New Roman" w:hAnsi="Times New Roman" w:cs="Times New Roman"/>
                <w:snapToGrid/>
                <w:color w:val="auto"/>
                <w:spacing w:val="0"/>
                <w:sz w:val="24"/>
                <w:lang w:val="en-US" w:eastAsia="zh-CN"/>
              </w:rPr>
              <w:t>56</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/d，远小于生活污水收集池规模，生活污水收集池可容纳约</w:t>
            </w:r>
            <w:r>
              <w:rPr>
                <w:rFonts w:hint="eastAsia" w:ascii="Times New Roman" w:hAnsi="Times New Roman" w:cs="Times New Roman"/>
                <w:snapToGrid/>
                <w:color w:val="auto"/>
                <w:spacing w:val="0"/>
                <w:sz w:val="24"/>
                <w:lang w:val="en-US" w:eastAsia="zh-CN"/>
              </w:rPr>
              <w:t>2</w:t>
            </w:r>
            <w:r>
              <w:rPr>
                <w:rFonts w:hint="default" w:ascii="Times New Roman" w:hAnsi="Times New Roman" w:cs="Times New Roman"/>
                <w:snapToGrid/>
                <w:color w:val="auto"/>
                <w:spacing w:val="0"/>
                <w:sz w:val="24"/>
              </w:rPr>
              <w:t>天的生活污水，生活污水收集池规模可行。</w:t>
            </w:r>
          </w:p>
          <w:p>
            <w:pPr>
              <w:spacing w:line="360" w:lineRule="auto"/>
              <w:ind w:firstLine="482"/>
              <w:rPr>
                <w:rFonts w:hint="eastAsia" w:ascii="Times New Roman" w:hAnsi="Times New Roman" w:cs="Times New Roman" w:eastAsiaTheme="minorEastAsia"/>
                <w:b/>
                <w:bCs/>
                <w:snapToGrid/>
                <w:color w:val="auto"/>
                <w:spacing w:val="0"/>
                <w:sz w:val="24"/>
                <w:lang w:eastAsia="zh-CN"/>
              </w:rPr>
            </w:pPr>
            <w:r>
              <w:rPr>
                <w:rFonts w:hint="default" w:ascii="Times New Roman" w:hAnsi="Times New Roman" w:cs="Times New Roman"/>
                <w:b/>
                <w:bCs/>
                <w:snapToGrid/>
                <w:color w:val="auto"/>
                <w:spacing w:val="0"/>
                <w:sz w:val="24"/>
              </w:rPr>
              <w:t>③</w:t>
            </w:r>
            <w:r>
              <w:rPr>
                <w:rFonts w:hint="eastAsia" w:ascii="Times New Roman" w:hAnsi="Times New Roman" w:cs="Times New Roman"/>
                <w:b/>
                <w:bCs/>
                <w:snapToGrid/>
                <w:color w:val="auto"/>
                <w:spacing w:val="0"/>
                <w:sz w:val="24"/>
                <w:lang w:val="en-US" w:eastAsia="zh-CN"/>
              </w:rPr>
              <w:t>旱厕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napToGrid/>
                <w:color w:val="auto"/>
                <w:spacing w:val="0"/>
                <w:sz w:val="24"/>
              </w:rPr>
              <w:t>项目设置有</w:t>
            </w:r>
            <w:r>
              <w:rPr>
                <w:rFonts w:hint="eastAsia" w:ascii="Times New Roman" w:hAnsi="Times New Roman" w:cs="Times New Roman"/>
                <w:snapToGrid/>
                <w:color w:val="auto"/>
                <w:spacing w:val="0"/>
                <w:sz w:val="24"/>
                <w:lang w:val="en-US" w:eastAsia="zh-CN"/>
              </w:rPr>
              <w:t>1</w:t>
            </w:r>
            <w:r>
              <w:rPr>
                <w:rFonts w:hint="default" w:ascii="Times New Roman" w:hAnsi="Times New Roman" w:cs="Times New Roman"/>
                <w:snapToGrid/>
                <w:color w:val="auto"/>
                <w:spacing w:val="0"/>
                <w:sz w:val="24"/>
              </w:rPr>
              <w:t>个</w:t>
            </w:r>
            <w:r>
              <w:rPr>
                <w:rFonts w:hint="eastAsia" w:ascii="Times New Roman" w:hAnsi="Times New Roman" w:cs="Times New Roman"/>
                <w:snapToGrid/>
                <w:color w:val="auto"/>
                <w:spacing w:val="0"/>
                <w:sz w:val="24"/>
                <w:lang w:val="en-US" w:eastAsia="zh-CN"/>
              </w:rPr>
              <w:t>3</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w:t>
            </w:r>
            <w:r>
              <w:rPr>
                <w:rFonts w:hint="eastAsia" w:ascii="Times New Roman" w:hAnsi="Times New Roman" w:cs="Times New Roman"/>
                <w:snapToGrid/>
                <w:color w:val="auto"/>
                <w:spacing w:val="0"/>
                <w:sz w:val="24"/>
                <w:lang w:val="en-US" w:eastAsia="zh-CN"/>
              </w:rPr>
              <w:t>旱厕</w:t>
            </w:r>
            <w:r>
              <w:rPr>
                <w:rFonts w:hint="default" w:ascii="Times New Roman" w:hAnsi="Times New Roman" w:cs="Times New Roman"/>
                <w:snapToGrid/>
                <w:color w:val="auto"/>
                <w:spacing w:val="0"/>
                <w:sz w:val="24"/>
              </w:rPr>
              <w:t>，用于收集处理</w:t>
            </w:r>
            <w:r>
              <w:rPr>
                <w:rFonts w:hint="eastAsia" w:ascii="Times New Roman" w:hAnsi="Times New Roman" w:cs="Times New Roman"/>
                <w:snapToGrid/>
                <w:color w:val="auto"/>
                <w:spacing w:val="0"/>
                <w:sz w:val="24"/>
                <w:lang w:val="en-US" w:eastAsia="zh-CN"/>
              </w:rPr>
              <w:t>粪便</w:t>
            </w:r>
            <w:r>
              <w:rPr>
                <w:rFonts w:hint="default" w:ascii="Times New Roman" w:hAnsi="Times New Roman" w:cs="Times New Roman"/>
                <w:snapToGrid/>
                <w:color w:val="auto"/>
                <w:spacing w:val="0"/>
                <w:sz w:val="24"/>
              </w:rPr>
              <w:t>，根据工程分析，运营期废水产生量约0.</w:t>
            </w:r>
            <w:r>
              <w:rPr>
                <w:rFonts w:hint="eastAsia" w:ascii="Times New Roman" w:hAnsi="Times New Roman" w:cs="Times New Roman"/>
                <w:snapToGrid/>
                <w:color w:val="auto"/>
                <w:spacing w:val="0"/>
                <w:sz w:val="24"/>
                <w:lang w:val="en-US" w:eastAsia="zh-CN"/>
              </w:rPr>
              <w:t>8</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/d，远小于</w:t>
            </w:r>
            <w:r>
              <w:rPr>
                <w:rFonts w:hint="eastAsia" w:ascii="Times New Roman" w:hAnsi="Times New Roman" w:cs="Times New Roman"/>
                <w:snapToGrid/>
                <w:color w:val="auto"/>
                <w:spacing w:val="0"/>
                <w:sz w:val="24"/>
                <w:lang w:val="en-US" w:eastAsia="zh-CN"/>
              </w:rPr>
              <w:t>旱厕</w:t>
            </w:r>
            <w:r>
              <w:rPr>
                <w:rFonts w:hint="default" w:ascii="Times New Roman" w:hAnsi="Times New Roman" w:cs="Times New Roman"/>
                <w:snapToGrid/>
                <w:color w:val="auto"/>
                <w:spacing w:val="0"/>
                <w:sz w:val="24"/>
              </w:rPr>
              <w:t>规模，规模可行。</w:t>
            </w:r>
          </w:p>
          <w:p>
            <w:pPr>
              <w:spacing w:line="360" w:lineRule="auto"/>
              <w:ind w:firstLine="482"/>
              <w:rPr>
                <w:rFonts w:hint="default" w:ascii="Times New Roman" w:hAnsi="Times New Roman" w:cs="Times New Roman"/>
                <w:b/>
                <w:bCs/>
                <w:snapToGrid/>
                <w:color w:val="auto"/>
                <w:spacing w:val="0"/>
                <w:sz w:val="24"/>
              </w:rPr>
            </w:pPr>
            <w:r>
              <w:rPr>
                <w:rFonts w:hint="default" w:ascii="Times New Roman" w:hAnsi="Times New Roman" w:cs="Times New Roman"/>
                <w:b/>
                <w:bCs/>
                <w:snapToGrid/>
                <w:color w:val="auto"/>
                <w:spacing w:val="0"/>
                <w:sz w:val="24"/>
              </w:rPr>
              <w:t>④初期雨水收集池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snapToGrid/>
                <w:color w:val="auto"/>
                <w:spacing w:val="0"/>
                <w:sz w:val="24"/>
              </w:rPr>
              <w:t>项目厂区设置1个</w:t>
            </w:r>
            <w:r>
              <w:rPr>
                <w:rFonts w:hint="eastAsia" w:ascii="Times New Roman" w:hAnsi="Times New Roman" w:cs="Times New Roman"/>
                <w:snapToGrid/>
                <w:color w:val="auto"/>
                <w:spacing w:val="0"/>
                <w:sz w:val="24"/>
                <w:lang w:val="en-US" w:eastAsia="zh-CN"/>
              </w:rPr>
              <w:t>5</w:t>
            </w:r>
            <w:r>
              <w:rPr>
                <w:rFonts w:hint="default" w:ascii="Times New Roman" w:hAnsi="Times New Roman" w:cs="Times New Roman"/>
                <w:snapToGrid/>
                <w:color w:val="auto"/>
                <w:spacing w:val="0"/>
                <w:sz w:val="24"/>
                <w:lang w:val="en-US" w:eastAsia="zh-CN"/>
              </w:rPr>
              <w:t>0</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的初期雨水收集池，项目运营期初期雨水约</w:t>
            </w:r>
            <w:r>
              <w:rPr>
                <w:rFonts w:hint="eastAsia" w:ascii="Times New Roman" w:hAnsi="Times New Roman" w:cs="Times New Roman"/>
                <w:snapToGrid/>
                <w:color w:val="auto"/>
                <w:spacing w:val="0"/>
                <w:sz w:val="24"/>
                <w:lang w:val="en-US" w:eastAsia="zh-CN"/>
              </w:rPr>
              <w:t>14.32</w:t>
            </w:r>
            <w:r>
              <w:rPr>
                <w:rFonts w:hint="default" w:ascii="Times New Roman" w:hAnsi="Times New Roman" w:cs="Times New Roman"/>
                <w:snapToGrid/>
                <w:color w:val="auto"/>
                <w:spacing w:val="0"/>
                <w:sz w:val="24"/>
              </w:rPr>
              <w:t>m</w:t>
            </w:r>
            <w:r>
              <w:rPr>
                <w:rFonts w:hint="default" w:ascii="Times New Roman" w:hAnsi="Times New Roman" w:cs="Times New Roman"/>
                <w:snapToGrid/>
                <w:color w:val="auto"/>
                <w:spacing w:val="0"/>
                <w:sz w:val="24"/>
                <w:vertAlign w:val="superscript"/>
              </w:rPr>
              <w:t>3</w:t>
            </w:r>
            <w:r>
              <w:rPr>
                <w:rFonts w:hint="default" w:ascii="Times New Roman" w:hAnsi="Times New Roman" w:cs="Times New Roman"/>
                <w:snapToGrid/>
                <w:color w:val="auto"/>
                <w:spacing w:val="0"/>
                <w:sz w:val="24"/>
              </w:rPr>
              <w:t>/次，远小于初期雨水收集池规模，初期雨水收集池可容纳约</w:t>
            </w:r>
            <w:r>
              <w:rPr>
                <w:rFonts w:hint="eastAsia" w:ascii="Times New Roman" w:hAnsi="Times New Roman" w:cs="Times New Roman"/>
                <w:snapToGrid/>
                <w:color w:val="auto"/>
                <w:spacing w:val="0"/>
                <w:sz w:val="24"/>
                <w:lang w:val="en-US" w:eastAsia="zh-CN"/>
              </w:rPr>
              <w:t>3</w:t>
            </w:r>
            <w:r>
              <w:rPr>
                <w:rFonts w:hint="default" w:ascii="Times New Roman" w:hAnsi="Times New Roman" w:cs="Times New Roman"/>
                <w:snapToGrid/>
                <w:color w:val="auto"/>
                <w:spacing w:val="0"/>
                <w:sz w:val="24"/>
              </w:rPr>
              <w:t>天的初期雨水，初期雨水收集池规模可行。</w:t>
            </w:r>
            <w:r>
              <w:rPr>
                <w:rFonts w:hint="default" w:ascii="Times New Roman" w:hAnsi="Times New Roman" w:cs="Times New Roman"/>
                <w:color w:val="auto"/>
                <w:kern w:val="0"/>
                <w:sz w:val="24"/>
                <w:szCs w:val="24"/>
                <w:highlight w:val="none"/>
                <w:lang w:val="en-US" w:eastAsia="zh-CN"/>
              </w:rPr>
              <w:t>且初期雨水污染物主要为悬浮物，降尘用水要求不高，则雨水经沉淀后回用于降尘是合理的。</w:t>
            </w:r>
          </w:p>
          <w:p>
            <w:pPr>
              <w:spacing w:line="360" w:lineRule="auto"/>
              <w:ind w:firstLine="482"/>
              <w:rPr>
                <w:rFonts w:hint="default" w:ascii="Times New Roman" w:hAnsi="Times New Roman" w:cs="Times New Roman"/>
                <w:snapToGrid/>
                <w:color w:val="auto"/>
                <w:spacing w:val="0"/>
                <w:sz w:val="24"/>
              </w:rPr>
            </w:pPr>
            <w:r>
              <w:rPr>
                <w:rFonts w:hint="eastAsia" w:ascii="微软雅黑" w:hAnsi="微软雅黑" w:eastAsia="微软雅黑" w:cs="微软雅黑"/>
                <w:snapToGrid/>
                <w:color w:val="auto"/>
                <w:spacing w:val="0"/>
                <w:sz w:val="24"/>
              </w:rPr>
              <w:t>⑤</w:t>
            </w:r>
            <w:r>
              <w:rPr>
                <w:rFonts w:hint="eastAsia"/>
                <w:b/>
                <w:bCs/>
                <w:color w:val="auto"/>
                <w:kern w:val="0"/>
                <w:sz w:val="24"/>
                <w:szCs w:val="24"/>
                <w:highlight w:val="none"/>
                <w:lang w:val="en-US" w:eastAsia="zh-CN"/>
              </w:rPr>
              <w:t>三级沉淀池</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val="0"/>
                <w:bCs w:val="0"/>
                <w:color w:val="auto"/>
                <w:kern w:val="0"/>
                <w:sz w:val="24"/>
                <w:szCs w:val="24"/>
                <w:highlight w:val="none"/>
                <w:lang w:val="en-US" w:eastAsia="zh-CN"/>
              </w:rPr>
              <w:t>项目洗砂用水为</w:t>
            </w:r>
            <w:r>
              <w:rPr>
                <w:rFonts w:hint="eastAsia" w:ascii="Times New Roman" w:hAnsi="Times New Roman" w:cs="Times New Roman"/>
                <w:bCs/>
                <w:color w:val="auto"/>
                <w:sz w:val="24"/>
                <w:highlight w:val="none"/>
                <w:lang w:val="en-US" w:eastAsia="zh-CN"/>
              </w:rPr>
              <w:t>22</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/d，产生废水为</w:t>
            </w:r>
            <w:r>
              <w:rPr>
                <w:rFonts w:hint="eastAsia" w:ascii="Times New Roman" w:hAnsi="Times New Roman" w:cs="Times New Roman"/>
                <w:bCs/>
                <w:color w:val="auto"/>
                <w:sz w:val="24"/>
                <w:highlight w:val="none"/>
                <w:lang w:val="en-US" w:eastAsia="zh-CN"/>
              </w:rPr>
              <w:t>18.67</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eastAsia="宋体" w:cs="Times New Roman"/>
                <w:bCs/>
                <w:color w:val="auto"/>
                <w:sz w:val="24"/>
                <w:highlight w:val="none"/>
                <w:lang w:val="en-US" w:eastAsia="zh-CN"/>
              </w:rPr>
              <w:t>/d，</w:t>
            </w:r>
            <w:r>
              <w:rPr>
                <w:rFonts w:hint="eastAsia" w:ascii="Times New Roman" w:hAnsi="Times New Roman" w:cs="Times New Roman"/>
                <w:color w:val="auto"/>
                <w:kern w:val="0"/>
                <w:sz w:val="24"/>
                <w:szCs w:val="24"/>
                <w:lang w:val="en-US" w:eastAsia="zh-CN"/>
              </w:rPr>
              <w:t>设置三级沉淀池，单个容积50</w:t>
            </w:r>
            <w:r>
              <w:rPr>
                <w:rFonts w:hint="eastAsia" w:ascii="Times New Roman" w:hAnsi="Times New Roman" w:eastAsia="宋体" w:cs="Times New Roman"/>
                <w:bCs/>
                <w:color w:val="auto"/>
                <w:sz w:val="24"/>
                <w:highlight w:val="none"/>
                <w:lang w:val="en-US" w:eastAsia="zh-CN"/>
              </w:rPr>
              <w:t>m</w:t>
            </w:r>
            <w:r>
              <w:rPr>
                <w:rFonts w:hint="eastAsia" w:ascii="Times New Roman" w:hAnsi="Times New Roman" w:eastAsia="宋体" w:cs="Times New Roman"/>
                <w:bCs/>
                <w:color w:val="auto"/>
                <w:sz w:val="24"/>
                <w:highlight w:val="none"/>
                <w:vertAlign w:val="superscript"/>
                <w:lang w:val="en-US" w:eastAsia="zh-CN"/>
              </w:rPr>
              <w:t>3</w:t>
            </w:r>
            <w:r>
              <w:rPr>
                <w:rFonts w:hint="eastAsia" w:ascii="Times New Roman" w:hAnsi="Times New Roman" w:cs="Times New Roman"/>
                <w:color w:val="auto"/>
                <w:sz w:val="24"/>
                <w:szCs w:val="24"/>
                <w:lang w:val="zh-CN"/>
              </w:rPr>
              <w:t>，</w:t>
            </w:r>
            <w:r>
              <w:rPr>
                <w:rFonts w:hint="default" w:ascii="Times New Roman" w:hAnsi="Times New Roman" w:cs="Times New Roman"/>
                <w:color w:val="auto"/>
                <w:sz w:val="24"/>
                <w:szCs w:val="24"/>
                <w:lang w:val="zh-CN"/>
              </w:rPr>
              <w:t>考虑1.2的保障系数</w:t>
            </w:r>
            <w:r>
              <w:rPr>
                <w:rFonts w:hint="eastAsia" w:ascii="Times New Roman" w:hAnsi="Times New Roman" w:cs="Times New Roman"/>
                <w:color w:val="auto"/>
                <w:sz w:val="24"/>
                <w:szCs w:val="24"/>
                <w:lang w:val="zh-CN"/>
              </w:rPr>
              <w:t>，</w:t>
            </w:r>
            <w:r>
              <w:rPr>
                <w:rFonts w:hint="eastAsia" w:ascii="Times New Roman" w:hAnsi="Times New Roman" w:cs="Times New Roman"/>
                <w:color w:val="auto"/>
                <w:kern w:val="0"/>
                <w:sz w:val="24"/>
                <w:szCs w:val="24"/>
                <w:lang w:val="en-US" w:eastAsia="zh-CN"/>
              </w:rPr>
              <w:t>沉淀池</w:t>
            </w:r>
            <w:r>
              <w:rPr>
                <w:rFonts w:hint="eastAsia"/>
                <w:color w:val="auto"/>
                <w:kern w:val="0"/>
                <w:sz w:val="24"/>
                <w:szCs w:val="24"/>
                <w:highlight w:val="none"/>
                <w:lang w:val="en-US" w:eastAsia="zh-CN"/>
              </w:rPr>
              <w:t>容积满足要求</w:t>
            </w:r>
            <w:r>
              <w:rPr>
                <w:rFonts w:hint="eastAsia" w:ascii="Times New Roman" w:hAnsi="Times New Roman" w:eastAsia="宋体" w:cs="Times New Roman"/>
                <w:b/>
                <w:bCs/>
                <w:color w:val="auto"/>
                <w:kern w:val="0"/>
                <w:sz w:val="24"/>
                <w:szCs w:val="24"/>
                <w:highlight w:val="none"/>
                <w:lang w:val="en-US" w:eastAsia="zh-CN"/>
              </w:rPr>
              <w:t>，</w:t>
            </w:r>
            <w:r>
              <w:rPr>
                <w:rFonts w:hint="eastAsia"/>
                <w:color w:val="auto"/>
                <w:kern w:val="0"/>
                <w:sz w:val="24"/>
                <w:szCs w:val="24"/>
                <w:highlight w:val="none"/>
                <w:lang w:val="en-US" w:eastAsia="zh-CN"/>
              </w:rPr>
              <w:t>且生产废水污染物主要为悬浮物，经三级沉淀后上清液能够满足洗砂用水要求，则废水经沉淀后回用于洗砂是合理的。</w:t>
            </w:r>
          </w:p>
          <w:p>
            <w:pPr>
              <w:spacing w:line="360" w:lineRule="auto"/>
              <w:ind w:firstLine="482"/>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根据以上分析，在落实本环评提出的处理措施后，本项目对周边水环境影响较小。</w:t>
            </w:r>
            <w:r>
              <w:rPr>
                <w:rFonts w:hint="default" w:ascii="Times New Roman" w:hAnsi="Times New Roman" w:cs="Times New Roman"/>
                <w:snapToGrid/>
                <w:color w:val="auto"/>
                <w:spacing w:val="0"/>
                <w:sz w:val="24"/>
              </w:rPr>
              <w:t>总体而言，项目运营期各处理设置均已考虑变化系数，可保证各类废水得到妥善收集并合理回用，不外排。不会对周围地表水体造成污染影响。</w:t>
            </w:r>
          </w:p>
        </w:tc>
      </w:tr>
    </w:tbl>
    <w:p>
      <w:pPr>
        <w:rPr>
          <w:rFonts w:ascii="Times New Roman" w:hAnsi="Times New Roman" w:eastAsia="黑体" w:cs="Times New Roman"/>
          <w:color w:val="auto"/>
          <w:sz w:val="30"/>
          <w:szCs w:val="30"/>
        </w:rPr>
        <w:sectPr>
          <w:pgSz w:w="11906" w:h="16838"/>
          <w:pgMar w:top="646" w:right="1417" w:bottom="646"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7"/>
        <w:tblW w:w="15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Align w:val="top"/>
          </w:tcPr>
          <w:p>
            <w:pPr>
              <w:adjustRightInd w:val="0"/>
              <w:snapToGrid w:val="0"/>
              <w:spacing w:line="360"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运营期环境影响和保护措施</w:t>
            </w:r>
          </w:p>
          <w:p>
            <w:pPr>
              <w:pStyle w:val="10"/>
              <w:outlineLvl w:val="0"/>
              <w:rPr>
                <w:rFonts w:hint="default" w:ascii="Times New Roman" w:hAnsi="Times New Roman" w:eastAsia="宋体" w:cs="Times New Roman"/>
                <w:color w:val="auto"/>
                <w:vertAlign w:val="baseline"/>
              </w:rPr>
            </w:pPr>
          </w:p>
        </w:tc>
        <w:tc>
          <w:tcPr>
            <w:tcW w:w="1512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三、噪声</w:t>
            </w:r>
          </w:p>
          <w:p>
            <w:pPr>
              <w:spacing w:line="360" w:lineRule="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pacing w:val="-10"/>
                <w:sz w:val="24"/>
                <w:szCs w:val="24"/>
                <w:highlight w:val="none"/>
                <w:lang w:val="en-US" w:eastAsia="zh-CN"/>
              </w:rPr>
              <w:t>1、</w:t>
            </w:r>
            <w:r>
              <w:rPr>
                <w:rFonts w:hint="default" w:ascii="Times New Roman" w:hAnsi="Times New Roman" w:eastAsia="宋体" w:cs="Times New Roman"/>
                <w:b/>
                <w:bCs/>
                <w:color w:val="auto"/>
                <w:sz w:val="24"/>
              </w:rPr>
              <w:t>声源强产生及排放</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highlight w:val="none"/>
                <w:lang w:val="en-US" w:eastAsia="zh-CN"/>
              </w:rPr>
              <w:t>项</w:t>
            </w:r>
            <w:r>
              <w:rPr>
                <w:rFonts w:hint="default" w:ascii="Times New Roman" w:hAnsi="Times New Roman" w:eastAsia="宋体" w:cs="Times New Roman"/>
                <w:color w:val="auto"/>
                <w:sz w:val="24"/>
                <w:szCs w:val="24"/>
                <w:highlight w:val="none"/>
              </w:rPr>
              <w:t>目噪声主要是设备运转时产生的设备噪声以及运输车辆，主要设备有</w:t>
            </w:r>
            <w:r>
              <w:rPr>
                <w:rFonts w:hint="default" w:ascii="Times New Roman" w:hAnsi="Times New Roman" w:eastAsia="宋体" w:cs="Times New Roman"/>
                <w:color w:val="auto"/>
                <w:sz w:val="24"/>
                <w:szCs w:val="24"/>
                <w:highlight w:val="none"/>
                <w:lang w:eastAsia="zh-CN"/>
              </w:rPr>
              <w:t>给料机、</w:t>
            </w:r>
            <w:r>
              <w:rPr>
                <w:rFonts w:hint="default" w:ascii="Times New Roman" w:hAnsi="Times New Roman" w:eastAsia="宋体" w:cs="Times New Roman"/>
                <w:color w:val="auto"/>
                <w:kern w:val="0"/>
                <w:sz w:val="24"/>
                <w:szCs w:val="24"/>
                <w:highlight w:val="none"/>
                <w:lang w:val="en-US" w:eastAsia="zh-CN" w:bidi="ar"/>
              </w:rPr>
              <w:t>颚式破碎机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val="en-US" w:eastAsia="zh-CN" w:bidi="ar"/>
              </w:rPr>
              <w:t>锤式破碎机</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kern w:val="0"/>
                <w:sz w:val="24"/>
                <w:szCs w:val="24"/>
                <w:highlight w:val="none"/>
                <w:lang w:val="en-US" w:eastAsia="zh-CN" w:bidi="ar"/>
              </w:rPr>
              <w:t>制砂机、振动</w:t>
            </w:r>
            <w:r>
              <w:rPr>
                <w:rFonts w:hint="default" w:ascii="Times New Roman" w:hAnsi="Times New Roman" w:eastAsia="宋体" w:cs="Times New Roman"/>
                <w:color w:val="auto"/>
                <w:kern w:val="0"/>
                <w:sz w:val="24"/>
                <w:szCs w:val="24"/>
                <w:highlight w:val="none"/>
                <w:lang w:bidi="ar"/>
              </w:rPr>
              <w:t>筛</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kern w:val="0"/>
                <w:sz w:val="24"/>
                <w:szCs w:val="24"/>
                <w:highlight w:val="none"/>
                <w:lang w:val="en-US" w:eastAsia="zh-CN" w:bidi="ar"/>
              </w:rPr>
              <w:t>除尘器风机以及装载机</w:t>
            </w:r>
            <w:r>
              <w:rPr>
                <w:rFonts w:hint="default" w:ascii="Times New Roman" w:hAnsi="Times New Roman" w:eastAsia="宋体" w:cs="Times New Roman"/>
                <w:color w:val="auto"/>
                <w:sz w:val="24"/>
                <w:szCs w:val="24"/>
                <w:highlight w:val="none"/>
              </w:rPr>
              <w:t>等设备，各设备噪声源强值在75~90dB（A）间</w:t>
            </w:r>
            <w:r>
              <w:rPr>
                <w:rFonts w:hint="default" w:ascii="Times New Roman" w:hAnsi="Times New Roman" w:eastAsia="宋体" w:cs="Times New Roman"/>
                <w:color w:val="auto"/>
                <w:sz w:val="24"/>
              </w:rPr>
              <w:t>，结合项目实际情况，</w:t>
            </w:r>
            <w:r>
              <w:rPr>
                <w:rFonts w:hint="default" w:ascii="Times New Roman" w:hAnsi="Times New Roman" w:cs="Times New Roman"/>
                <w:color w:val="auto"/>
                <w:sz w:val="24"/>
                <w:szCs w:val="24"/>
              </w:rPr>
              <w:t>本项目</w:t>
            </w:r>
            <w:r>
              <w:rPr>
                <w:rFonts w:hint="default" w:ascii="Times New Roman" w:hAnsi="Times New Roman" w:cs="Times New Roman" w:eastAsiaTheme="minorEastAsia"/>
                <w:b w:val="0"/>
                <w:bCs/>
                <w:color w:val="auto"/>
                <w:sz w:val="24"/>
                <w:szCs w:val="24"/>
                <w:lang w:val="en-US" w:eastAsia="zh-CN"/>
              </w:rPr>
              <w:t>表中坐标以厂界</w:t>
            </w:r>
            <w:r>
              <w:rPr>
                <w:rFonts w:hint="eastAsia" w:ascii="Times New Roman" w:hAnsi="Times New Roman" w:cs="Times New Roman"/>
                <w:b w:val="0"/>
                <w:bCs/>
                <w:color w:val="auto"/>
                <w:sz w:val="24"/>
                <w:szCs w:val="24"/>
                <w:lang w:val="en-US" w:eastAsia="zh-CN"/>
              </w:rPr>
              <w:t>西南点</w:t>
            </w:r>
            <w:r>
              <w:rPr>
                <w:rFonts w:hint="default" w:ascii="Times New Roman" w:hAnsi="Times New Roman" w:cs="Times New Roman" w:eastAsiaTheme="minorEastAsia"/>
                <w:b w:val="0"/>
                <w:bCs/>
                <w:color w:val="auto"/>
                <w:sz w:val="24"/>
                <w:szCs w:val="24"/>
                <w:lang w:val="en-US" w:eastAsia="zh-CN"/>
              </w:rPr>
              <w:t>为坐标原点，正东向为X轴正方向，正北向为Y轴正方向</w:t>
            </w:r>
            <w:r>
              <w:rPr>
                <w:rFonts w:hint="eastAsia" w:ascii="Times New Roman" w:hAnsi="Times New Roman" w:cs="Times New Roman"/>
                <w:b w:val="0"/>
                <w:bCs/>
                <w:color w:val="auto"/>
                <w:sz w:val="24"/>
                <w:szCs w:val="24"/>
                <w:lang w:val="en-US" w:eastAsia="zh-CN"/>
              </w:rPr>
              <w:t>，</w:t>
            </w:r>
            <w:r>
              <w:rPr>
                <w:rFonts w:hint="default" w:ascii="Times New Roman" w:hAnsi="Times New Roman" w:eastAsia="宋体" w:cs="Times New Roman"/>
                <w:color w:val="auto"/>
                <w:sz w:val="24"/>
              </w:rPr>
              <w:t>本项目噪声污染源源强核算结果及相关参数见下表：</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rPr>
              <w:t>噪声污染源源强核算结果及相关参数表（室内声源）</w:t>
            </w:r>
          </w:p>
          <w:tbl>
            <w:tblPr>
              <w:tblStyle w:val="26"/>
              <w:tblW w:w="14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440"/>
              <w:gridCol w:w="723"/>
              <w:gridCol w:w="587"/>
              <w:gridCol w:w="641"/>
              <w:gridCol w:w="662"/>
              <w:gridCol w:w="663"/>
              <w:gridCol w:w="625"/>
              <w:gridCol w:w="600"/>
              <w:gridCol w:w="662"/>
              <w:gridCol w:w="575"/>
              <w:gridCol w:w="613"/>
              <w:gridCol w:w="575"/>
              <w:gridCol w:w="762"/>
              <w:gridCol w:w="563"/>
              <w:gridCol w:w="700"/>
              <w:gridCol w:w="575"/>
              <w:gridCol w:w="425"/>
              <w:gridCol w:w="850"/>
              <w:gridCol w:w="837"/>
              <w:gridCol w:w="600"/>
              <w:gridCol w:w="538"/>
              <w:gridCol w:w="66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gridSpan w:val="2"/>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建筑物</w:t>
                  </w:r>
                </w:p>
              </w:tc>
              <w:tc>
                <w:tcPr>
                  <w:tcW w:w="723"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噪声源</w:t>
                  </w:r>
                </w:p>
              </w:tc>
              <w:tc>
                <w:tcPr>
                  <w:tcW w:w="587"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数量（台）</w:t>
                  </w:r>
                </w:p>
              </w:tc>
              <w:tc>
                <w:tcPr>
                  <w:tcW w:w="641"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声压级dB</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A</w:t>
                  </w:r>
                  <w:r>
                    <w:rPr>
                      <w:rFonts w:hint="eastAsia" w:ascii="Times New Roman" w:hAnsi="Times New Roman" w:eastAsia="宋体" w:cs="Times New Roman"/>
                      <w:b/>
                      <w:bCs/>
                      <w:color w:val="auto"/>
                      <w:sz w:val="21"/>
                      <w:szCs w:val="21"/>
                      <w:lang w:eastAsia="zh-CN"/>
                    </w:rPr>
                    <w:t>）</w:t>
                  </w:r>
                </w:p>
              </w:tc>
              <w:tc>
                <w:tcPr>
                  <w:tcW w:w="662"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声源控制措施</w:t>
                  </w:r>
                </w:p>
              </w:tc>
              <w:tc>
                <w:tcPr>
                  <w:tcW w:w="1888" w:type="dxa"/>
                  <w:gridSpan w:val="3"/>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空间相对位置/m</w:t>
                  </w:r>
                </w:p>
              </w:tc>
              <w:tc>
                <w:tcPr>
                  <w:tcW w:w="2425" w:type="dxa"/>
                  <w:gridSpan w:val="4"/>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距边界距离/m</w:t>
                  </w:r>
                </w:p>
              </w:tc>
              <w:tc>
                <w:tcPr>
                  <w:tcW w:w="2600" w:type="dxa"/>
                  <w:gridSpan w:val="4"/>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室内边界声级/dB（A）</w:t>
                  </w:r>
                </w:p>
              </w:tc>
              <w:tc>
                <w:tcPr>
                  <w:tcW w:w="425"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运行时段</w:t>
                  </w:r>
                </w:p>
              </w:tc>
              <w:tc>
                <w:tcPr>
                  <w:tcW w:w="850"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建筑物插入损失/dB（A）</w:t>
                  </w:r>
                </w:p>
              </w:tc>
              <w:tc>
                <w:tcPr>
                  <w:tcW w:w="2637" w:type="dxa"/>
                  <w:gridSpan w:val="4"/>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声压级/dB（A）</w:t>
                  </w:r>
                </w:p>
              </w:tc>
              <w:tc>
                <w:tcPr>
                  <w:tcW w:w="699"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建筑物外距离</w:t>
                  </w:r>
                  <w:r>
                    <w:rPr>
                      <w:rFonts w:hint="default" w:ascii="Times New Roman" w:hAnsi="Times New Roman" w:eastAsia="宋体" w:cs="Times New Roman"/>
                      <w:b/>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gridSpan w:val="2"/>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723"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587"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641"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p>
              </w:tc>
              <w:tc>
                <w:tcPr>
                  <w:tcW w:w="66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X</w:t>
                  </w:r>
                </w:p>
              </w:tc>
              <w:tc>
                <w:tcPr>
                  <w:tcW w:w="625"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Y</w:t>
                  </w:r>
                </w:p>
              </w:tc>
              <w:tc>
                <w:tcPr>
                  <w:tcW w:w="600"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Z</w:t>
                  </w:r>
                </w:p>
              </w:tc>
              <w:tc>
                <w:tcPr>
                  <w:tcW w:w="662"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w:t>
                  </w:r>
                </w:p>
              </w:tc>
              <w:tc>
                <w:tcPr>
                  <w:tcW w:w="575"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南</w:t>
                  </w:r>
                </w:p>
              </w:tc>
              <w:tc>
                <w:tcPr>
                  <w:tcW w:w="613"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西</w:t>
                  </w:r>
                </w:p>
              </w:tc>
              <w:tc>
                <w:tcPr>
                  <w:tcW w:w="575"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w:t>
                  </w:r>
                </w:p>
              </w:tc>
              <w:tc>
                <w:tcPr>
                  <w:tcW w:w="762"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w:t>
                  </w:r>
                </w:p>
              </w:tc>
              <w:tc>
                <w:tcPr>
                  <w:tcW w:w="563"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南</w:t>
                  </w:r>
                </w:p>
              </w:tc>
              <w:tc>
                <w:tcPr>
                  <w:tcW w:w="700"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西</w:t>
                  </w:r>
                </w:p>
              </w:tc>
              <w:tc>
                <w:tcPr>
                  <w:tcW w:w="575"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w:t>
                  </w:r>
                </w:p>
              </w:tc>
              <w:tc>
                <w:tcPr>
                  <w:tcW w:w="425"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p>
              </w:tc>
              <w:tc>
                <w:tcPr>
                  <w:tcW w:w="85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p>
              </w:tc>
              <w:tc>
                <w:tcPr>
                  <w:tcW w:w="837"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东</w:t>
                  </w:r>
                </w:p>
              </w:tc>
              <w:tc>
                <w:tcPr>
                  <w:tcW w:w="600"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南</w:t>
                  </w:r>
                </w:p>
              </w:tc>
              <w:tc>
                <w:tcPr>
                  <w:tcW w:w="538"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西</w:t>
                  </w:r>
                </w:p>
              </w:tc>
              <w:tc>
                <w:tcPr>
                  <w:tcW w:w="662" w:type="dxa"/>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北</w:t>
                  </w:r>
                </w:p>
              </w:tc>
              <w:tc>
                <w:tcPr>
                  <w:tcW w:w="69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生产车间</w:t>
                  </w:r>
                </w:p>
              </w:tc>
              <w:tc>
                <w:tcPr>
                  <w:tcW w:w="440"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砂石料生产线</w:t>
                  </w: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振动给料机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75</w:t>
                  </w:r>
                </w:p>
              </w:tc>
              <w:tc>
                <w:tcPr>
                  <w:tcW w:w="662" w:type="dxa"/>
                  <w:vMerge w:val="restart"/>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基础减震、</w:t>
                  </w:r>
                  <w:r>
                    <w:rPr>
                      <w:rFonts w:hint="default" w:ascii="Times New Roman" w:hAnsi="Times New Roman" w:eastAsia="宋体" w:cs="Times New Roman"/>
                      <w:color w:val="auto"/>
                      <w:sz w:val="21"/>
                      <w:szCs w:val="21"/>
                      <w:lang w:val="en-US" w:eastAsia="zh-CN"/>
                    </w:rPr>
                    <w:t>厂房</w:t>
                  </w:r>
                  <w:r>
                    <w:rPr>
                      <w:rFonts w:hint="default" w:ascii="Times New Roman" w:hAnsi="Times New Roman" w:eastAsia="宋体" w:cs="Times New Roman"/>
                      <w:color w:val="auto"/>
                      <w:sz w:val="21"/>
                      <w:szCs w:val="21"/>
                    </w:rPr>
                    <w:t>隔声、距离衰减</w:t>
                  </w: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52.13</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-8.43</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45.19</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26.36</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53.71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24.97</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46.6</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425" w:type="dxa"/>
                  <w:vMerge w:val="restar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昼间</w:t>
                  </w:r>
                </w:p>
              </w:tc>
              <w:tc>
                <w:tcPr>
                  <w:tcW w:w="850" w:type="dxa"/>
                  <w:vMerge w:val="restar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699"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颚式破碎机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50.34</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-7.74</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47.51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27.14</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51.27</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24.29</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56.5</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61.3</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55.8</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62.3</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36.3</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30.8</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37.3</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圆锥机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48.06</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-6.64</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26.74</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48.53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24.06</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56.3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62.4</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31.3</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37.4</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振动筛床</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46.1</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-5.79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53.05</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26.59</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46.53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23.06</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55.5</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56.6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62.7</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立式制砂机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8</w:t>
                  </w:r>
                  <w:r>
                    <w:rPr>
                      <w:rFonts w:hint="default" w:ascii="Times New Roman" w:hAnsi="Times New Roman" w:eastAsia="宋体" w:cs="Times New Roman"/>
                      <w:color w:val="auto"/>
                      <w:sz w:val="21"/>
                      <w:szCs w:val="21"/>
                      <w:lang w:val="en-US" w:eastAsia="zh-CN"/>
                    </w:rPr>
                    <w:t>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42.7</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56.96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26.31</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41.72</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23.08</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44.9</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51.6</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47.6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27.7</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振动筛</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40.35</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-3.37</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59.91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25.77</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39.16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22.35</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44.5</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51.8</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53.0</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26.8</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洗石机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37.67</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63.31</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25.64</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35.83</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22.28</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49.0</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56.8</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53.9</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58.0</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31.8</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33.0</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洗砂机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35.52</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66.04</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25.33</w:t>
                  </w:r>
                </w:p>
              </w:tc>
              <w:tc>
                <w:tcPr>
                  <w:tcW w:w="613"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32.99</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21.25</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43.6</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51.9</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49.6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53.5</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28.5</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压滤机</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73.6</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-38.06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11.75</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3.89</w:t>
                  </w:r>
                </w:p>
              </w:tc>
              <w:tc>
                <w:tcPr>
                  <w:tcW w:w="613"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93.55</w:t>
                  </w:r>
                </w:p>
              </w:tc>
              <w:tc>
                <w:tcPr>
                  <w:tcW w:w="575" w:type="dxa"/>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49.13</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58.6</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68.2</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40.6</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46.2</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33.6</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440"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723"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水泵</w:t>
                  </w:r>
                </w:p>
              </w:tc>
              <w:tc>
                <w:tcPr>
                  <w:tcW w:w="587"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641" w:type="dxa"/>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662"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c>
                <w:tcPr>
                  <w:tcW w:w="6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75.37</w:t>
                  </w:r>
                </w:p>
              </w:tc>
              <w:tc>
                <w:tcPr>
                  <w:tcW w:w="62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-38.19</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9.64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3.95</w:t>
                  </w:r>
                </w:p>
              </w:tc>
              <w:tc>
                <w:tcPr>
                  <w:tcW w:w="61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95.74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48.59</w:t>
                  </w:r>
                </w:p>
              </w:tc>
              <w:tc>
                <w:tcPr>
                  <w:tcW w:w="7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60.3</w:t>
                  </w:r>
                </w:p>
              </w:tc>
              <w:tc>
                <w:tcPr>
                  <w:tcW w:w="563"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68.1</w:t>
                  </w:r>
                </w:p>
              </w:tc>
              <w:tc>
                <w:tcPr>
                  <w:tcW w:w="7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575"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46.3</w:t>
                  </w:r>
                </w:p>
              </w:tc>
              <w:tc>
                <w:tcPr>
                  <w:tcW w:w="425"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50" w:type="dxa"/>
                  <w:vMerge w:val="continue"/>
                  <w:shd w:val="clear" w:color="auto" w:fill="auto"/>
                  <w:noWrap w:val="0"/>
                  <w:vAlign w:val="center"/>
                </w:tcPr>
                <w:p>
                  <w:pPr>
                    <w:jc w:val="center"/>
                    <w:rPr>
                      <w:rFonts w:hint="default" w:ascii="Times New Roman" w:hAnsi="Times New Roman" w:eastAsia="宋体" w:cs="Times New Roman"/>
                      <w:color w:val="auto"/>
                      <w:sz w:val="21"/>
                      <w:szCs w:val="21"/>
                    </w:rPr>
                  </w:pPr>
                </w:p>
              </w:tc>
              <w:tc>
                <w:tcPr>
                  <w:tcW w:w="837"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35.3</w:t>
                  </w:r>
                </w:p>
              </w:tc>
              <w:tc>
                <w:tcPr>
                  <w:tcW w:w="60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43.1</w:t>
                  </w:r>
                </w:p>
              </w:tc>
              <w:tc>
                <w:tcPr>
                  <w:tcW w:w="538"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62"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699" w:type="dxa"/>
                  <w:vMerge w:val="continue"/>
                  <w:shd w:val="clear" w:color="auto" w:fill="auto"/>
                  <w:noWrap w:val="0"/>
                  <w:vAlign w:val="center"/>
                </w:tcPr>
                <w:p>
                  <w:pPr>
                    <w:pStyle w:val="74"/>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p>
              </w:tc>
            </w:tr>
          </w:tbl>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ind w:firstLine="422"/>
              <w:jc w:val="center"/>
              <w:rPr>
                <w:rFonts w:hint="default" w:ascii="Times New Roman" w:hAnsi="Times New Roman" w:eastAsia="宋体" w:cs="Times New Roman"/>
                <w:b/>
                <w:bCs/>
                <w:color w:val="auto"/>
                <w:sz w:val="24"/>
                <w:szCs w:val="24"/>
              </w:rPr>
            </w:pPr>
          </w:p>
          <w:p>
            <w:pPr>
              <w:bidi w:val="0"/>
              <w:rPr>
                <w:rFonts w:hint="default" w:ascii="Times New Roman" w:hAnsi="Times New Roman" w:eastAsia="宋体" w:cs="Times New Roman"/>
                <w:color w:val="auto"/>
                <w:vertAlign w:val="baseline"/>
              </w:rPr>
            </w:pPr>
          </w:p>
        </w:tc>
      </w:tr>
    </w:tbl>
    <w:p>
      <w:pPr>
        <w:bidi w:val="0"/>
        <w:rPr>
          <w:color w:val="auto"/>
        </w:rPr>
        <w:sectPr>
          <w:pgSz w:w="16838" w:h="11906" w:orient="landscape"/>
          <w:pgMar w:top="1417" w:right="646" w:bottom="1417" w:left="64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运营期环境影响和保护措施</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color w:val="auto"/>
                <w:vertAlign w:val="baseline"/>
              </w:rPr>
            </w:pPr>
          </w:p>
        </w:tc>
        <w:tc>
          <w:tcPr>
            <w:tcW w:w="8930" w:type="dxa"/>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2、</w:t>
            </w:r>
            <w:r>
              <w:rPr>
                <w:rFonts w:hint="default" w:ascii="Times New Roman" w:hAnsi="Times New Roman" w:eastAsia="宋体" w:cs="Times New Roman"/>
                <w:b w:val="0"/>
                <w:bCs w:val="0"/>
                <w:color w:val="auto"/>
                <w:sz w:val="24"/>
              </w:rPr>
              <w:t>预测方案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预测模式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根据本项目建设内容及《环境影响评价技术导则声环境》（HJ2.4-2021）的要求，本次声环境预测采用的模型为《环境影响评价技术导则声环境》（HJ2.4.2021）附录A户外声传播的衰减和附录B中</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B.1工业噪声预测计算模型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（2）声源数据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iCs/>
                <w:color w:val="auto"/>
                <w:sz w:val="24"/>
                <w:szCs w:val="24"/>
              </w:rPr>
            </w:pPr>
            <w:r>
              <w:rPr>
                <w:rFonts w:hint="default" w:ascii="Times New Roman" w:hAnsi="Times New Roman" w:cs="Times New Roman"/>
                <w:bCs/>
                <w:iCs/>
                <w:color w:val="auto"/>
                <w:sz w:val="24"/>
                <w:szCs w:val="24"/>
              </w:rPr>
              <w:t>本项目声源位于室内，室内声源可采用等效室外声源声功率级法进行计算。设靠近开口处（或窗户）室内、室外某倍频带的声压级或A声级分别为L</w:t>
            </w:r>
            <w:r>
              <w:rPr>
                <w:rFonts w:hint="default" w:ascii="Times New Roman" w:hAnsi="Times New Roman" w:cs="Times New Roman"/>
                <w:bCs/>
                <w:iCs/>
                <w:color w:val="auto"/>
                <w:sz w:val="24"/>
                <w:szCs w:val="24"/>
                <w:vertAlign w:val="subscript"/>
              </w:rPr>
              <w:t>p1</w:t>
            </w:r>
            <w:r>
              <w:rPr>
                <w:rFonts w:hint="default" w:ascii="Times New Roman" w:hAnsi="Times New Roman" w:cs="Times New Roman"/>
                <w:bCs/>
                <w:iCs/>
                <w:color w:val="auto"/>
                <w:sz w:val="24"/>
                <w:szCs w:val="24"/>
              </w:rPr>
              <w:t>和L</w:t>
            </w:r>
            <w:r>
              <w:rPr>
                <w:rFonts w:hint="default" w:ascii="Times New Roman" w:hAnsi="Times New Roman" w:cs="Times New Roman"/>
                <w:bCs/>
                <w:iCs/>
                <w:color w:val="auto"/>
                <w:sz w:val="24"/>
                <w:szCs w:val="24"/>
                <w:vertAlign w:val="subscript"/>
              </w:rPr>
              <w:t>p2</w:t>
            </w:r>
            <w:r>
              <w:rPr>
                <w:rFonts w:hint="default" w:ascii="Times New Roman" w:hAnsi="Times New Roman" w:cs="Times New Roman"/>
                <w:bCs/>
                <w:iCs/>
                <w:color w:val="auto"/>
                <w:sz w:val="24"/>
                <w:szCs w:val="24"/>
              </w:rPr>
              <w:t>。若声源所在室内声场为近似扩散声场，采用导则附录B.1近似求出厂房外声压级：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L</w:t>
            </w:r>
            <w:r>
              <w:rPr>
                <w:rFonts w:hint="default" w:ascii="Times New Roman" w:hAnsi="Times New Roman" w:cs="Times New Roman"/>
                <w:color w:val="auto"/>
                <w:kern w:val="0"/>
                <w:sz w:val="24"/>
                <w:szCs w:val="24"/>
                <w:vertAlign w:val="subscript"/>
                <w:lang w:bidi="ar"/>
              </w:rPr>
              <w:t>p2</w:t>
            </w:r>
            <w:r>
              <w:rPr>
                <w:rFonts w:hint="default" w:ascii="Times New Roman" w:hAnsi="Times New Roman" w:cs="Times New Roman"/>
                <w:color w:val="auto"/>
                <w:kern w:val="0"/>
                <w:sz w:val="24"/>
                <w:szCs w:val="24"/>
                <w:lang w:bidi="ar"/>
              </w:rPr>
              <w:t>=L</w:t>
            </w:r>
            <w:r>
              <w:rPr>
                <w:rFonts w:hint="default" w:ascii="Times New Roman" w:hAnsi="Times New Roman" w:cs="Times New Roman"/>
                <w:color w:val="auto"/>
                <w:kern w:val="0"/>
                <w:sz w:val="24"/>
                <w:szCs w:val="24"/>
                <w:vertAlign w:val="subscript"/>
                <w:lang w:bidi="ar"/>
              </w:rPr>
              <w:t>p1</w:t>
            </w:r>
            <w:r>
              <w:rPr>
                <w:rFonts w:hint="default" w:ascii="Times New Roman" w:hAnsi="Times New Roman" w:cs="Times New Roman"/>
                <w:color w:val="auto"/>
                <w:kern w:val="0"/>
                <w:sz w:val="24"/>
                <w:szCs w:val="24"/>
                <w:lang w:bidi="ar"/>
              </w:rPr>
              <w:t>-（TL+6）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式中：</w:t>
            </w:r>
            <w:r>
              <w:rPr>
                <w:rFonts w:hint="default" w:ascii="Times New Roman" w:hAnsi="Times New Roman" w:cs="Times New Roman"/>
                <w:i/>
                <w:iCs/>
                <w:color w:val="auto"/>
                <w:kern w:val="0"/>
                <w:sz w:val="24"/>
                <w:szCs w:val="24"/>
                <w:lang w:bidi="ar"/>
              </w:rPr>
              <w:t>L</w:t>
            </w:r>
            <w:r>
              <w:rPr>
                <w:rFonts w:hint="default" w:ascii="Times New Roman" w:hAnsi="Times New Roman" w:cs="Times New Roman"/>
                <w:i/>
                <w:iCs/>
                <w:color w:val="auto"/>
                <w:kern w:val="0"/>
                <w:sz w:val="24"/>
                <w:szCs w:val="24"/>
                <w:vertAlign w:val="subscript"/>
                <w:lang w:bidi="ar"/>
              </w:rPr>
              <w:t>p</w:t>
            </w:r>
            <w:r>
              <w:rPr>
                <w:rFonts w:hint="default" w:ascii="Times New Roman" w:hAnsi="Times New Roman" w:cs="Times New Roman"/>
                <w:color w:val="auto"/>
                <w:kern w:val="0"/>
                <w:sz w:val="24"/>
                <w:szCs w:val="24"/>
                <w:vertAlign w:val="subscript"/>
                <w:lang w:bidi="ar"/>
              </w:rPr>
              <w:t>1</w:t>
            </w:r>
            <w:r>
              <w:rPr>
                <w:rFonts w:hint="default" w:ascii="Times New Roman" w:hAnsi="Times New Roman" w:cs="Times New Roman"/>
                <w:color w:val="auto"/>
                <w:kern w:val="0"/>
                <w:sz w:val="24"/>
                <w:szCs w:val="24"/>
                <w:lang w:bidi="ar"/>
              </w:rPr>
              <w:t>——靠近开口处（或窗户）室内某倍频带的声压级或A声级，dB，即室内边界噪声级。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i/>
                <w:iCs/>
                <w:color w:val="auto"/>
                <w:kern w:val="0"/>
                <w:sz w:val="24"/>
                <w:szCs w:val="24"/>
                <w:lang w:bidi="ar"/>
              </w:rPr>
              <w:t>L</w:t>
            </w:r>
            <w:r>
              <w:rPr>
                <w:rFonts w:hint="default" w:ascii="Times New Roman" w:hAnsi="Times New Roman" w:cs="Times New Roman"/>
                <w:i/>
                <w:iCs/>
                <w:color w:val="auto"/>
                <w:kern w:val="0"/>
                <w:sz w:val="24"/>
                <w:szCs w:val="24"/>
                <w:vertAlign w:val="subscript"/>
                <w:lang w:bidi="ar"/>
              </w:rPr>
              <w:t>p</w:t>
            </w:r>
            <w:r>
              <w:rPr>
                <w:rFonts w:hint="default" w:ascii="Times New Roman" w:hAnsi="Times New Roman" w:cs="Times New Roman"/>
                <w:color w:val="auto"/>
                <w:kern w:val="0"/>
                <w:sz w:val="24"/>
                <w:szCs w:val="24"/>
                <w:vertAlign w:val="subscript"/>
                <w:lang w:bidi="ar"/>
              </w:rPr>
              <w:t>2</w:t>
            </w:r>
            <w:r>
              <w:rPr>
                <w:rFonts w:hint="default" w:ascii="Times New Roman" w:hAnsi="Times New Roman" w:cs="Times New Roman"/>
                <w:color w:val="auto"/>
                <w:kern w:val="0"/>
                <w:sz w:val="24"/>
                <w:szCs w:val="24"/>
                <w:lang w:bidi="ar"/>
              </w:rPr>
              <w:t>——靠近开口处（或窗户）室外某倍频带的声压级或A声级，dB；</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i/>
                <w:iCs/>
                <w:color w:val="auto"/>
                <w:kern w:val="0"/>
                <w:sz w:val="24"/>
                <w:szCs w:val="24"/>
                <w:lang w:bidi="ar"/>
              </w:rPr>
              <w:t>TL</w:t>
            </w:r>
            <w:r>
              <w:rPr>
                <w:rFonts w:hint="default" w:ascii="Times New Roman" w:hAnsi="Times New Roman" w:cs="Times New Roman"/>
                <w:color w:val="auto"/>
                <w:kern w:val="0"/>
                <w:sz w:val="24"/>
                <w:szCs w:val="24"/>
                <w:lang w:bidi="ar"/>
              </w:rPr>
              <w:t>——隔墙（或窗户）倍频带或A声级的隔声量，dB，本次评价</w:t>
            </w:r>
            <w:r>
              <w:rPr>
                <w:rFonts w:hint="default" w:ascii="Times New Roman" w:hAnsi="Times New Roman" w:cs="Times New Roman"/>
                <w:bCs/>
                <w:color w:val="auto"/>
                <w:sz w:val="24"/>
                <w:szCs w:val="24"/>
              </w:rPr>
              <w:t>主要考虑厂房隔声、建筑物遮挡以及减震、阻尼材料等影响，</w:t>
            </w:r>
            <w:r>
              <w:rPr>
                <w:rFonts w:hint="default" w:ascii="Times New Roman" w:hAnsi="Times New Roman" w:cs="Times New Roman"/>
                <w:color w:val="auto"/>
                <w:sz w:val="24"/>
                <w:szCs w:val="24"/>
              </w:rPr>
              <w:t>厂房隔声降噪效果为</w:t>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5dB（A），减震降噪效果为10～20dB（A）</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，本项目厂房隔声+减震综合降噪效果取</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dB（A）。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3、预测结果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eastAsiaTheme="minorEastAsia"/>
                <w:color w:val="302116"/>
                <w:sz w:val="24"/>
                <w:szCs w:val="24"/>
                <w:lang w:eastAsia="zh-CN"/>
              </w:rPr>
            </w:pPr>
            <w:r>
              <w:rPr>
                <w:rFonts w:ascii="Times New Roman" w:hAnsi="Times New Roman" w:cs="Times New Roman" w:eastAsiaTheme="minorEastAsia"/>
                <w:color w:val="302116"/>
                <w:sz w:val="24"/>
                <w:szCs w:val="24"/>
                <w:lang w:eastAsia="zh-CN"/>
              </w:rPr>
              <w:t>通过预测模型计算，项目厂界噪声预测结果与达标分析见表</w:t>
            </w:r>
            <w:r>
              <w:rPr>
                <w:rFonts w:hint="eastAsia" w:ascii="Times New Roman" w:hAnsi="Times New Roman" w:cs="Times New Roman"/>
                <w:color w:val="302116"/>
                <w:sz w:val="24"/>
                <w:szCs w:val="24"/>
                <w:lang w:val="en-US" w:eastAsia="zh-CN"/>
              </w:rPr>
              <w:t>4-13。</w:t>
            </w:r>
          </w:p>
          <w:p>
            <w:pPr>
              <w:adjustRightInd w:val="0"/>
              <w:snapToGrid w:val="0"/>
              <w:jc w:val="center"/>
              <w:rPr>
                <w:rFonts w:ascii="Times New Roman" w:hAnsi="Times New Roman" w:cs="Times New Roman"/>
                <w:b/>
                <w:sz w:val="21"/>
                <w:szCs w:val="21"/>
                <w:lang w:eastAsia="zh-CN"/>
              </w:rPr>
            </w:pPr>
            <w:r>
              <w:rPr>
                <w:rFonts w:cs="Times New Roman" w:asciiTheme="minorEastAsia" w:hAnsiTheme="minorEastAsia" w:eastAsiaTheme="minorEastAsia"/>
                <w:b/>
                <w:sz w:val="21"/>
                <w:szCs w:val="21"/>
                <w:lang w:eastAsia="zh-CN"/>
              </w:rPr>
              <w:t>表</w:t>
            </w:r>
            <w:r>
              <w:rPr>
                <w:rFonts w:hint="eastAsia" w:ascii="Times New Roman" w:hAnsi="Times New Roman" w:cs="Times New Roman"/>
                <w:b/>
                <w:sz w:val="21"/>
                <w:szCs w:val="21"/>
                <w:lang w:val="en-US" w:eastAsia="zh-CN"/>
              </w:rPr>
              <w:t>4-13</w:t>
            </w:r>
            <w:r>
              <w:rPr>
                <w:rFonts w:cs="Times New Roman" w:asciiTheme="minorEastAsia" w:hAnsiTheme="minorEastAsia" w:eastAsiaTheme="minorEastAsia"/>
                <w:b/>
                <w:sz w:val="21"/>
                <w:szCs w:val="21"/>
                <w:lang w:eastAsia="zh-CN"/>
              </w:rPr>
              <w:t>厂界噪声预测结果与达标分析表</w:t>
            </w:r>
            <w:bookmarkStart w:id="44" w:name="PT_7"/>
          </w:p>
          <w:tbl>
            <w:tblPr>
              <w:tblStyle w:val="26"/>
              <w:tblW w:w="7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3"/>
              <w:gridCol w:w="759"/>
              <w:gridCol w:w="759"/>
              <w:gridCol w:w="698"/>
              <w:gridCol w:w="852"/>
              <w:gridCol w:w="1235"/>
              <w:gridCol w:w="123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46" w:hRule="exact"/>
                <w:jc w:val="center"/>
              </w:trPr>
              <w:tc>
                <w:tcPr>
                  <w:tcW w:w="94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预测方位</w:t>
                  </w:r>
                </w:p>
              </w:tc>
              <w:tc>
                <w:tcPr>
                  <w:tcW w:w="22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lang w:val="en-US" w:eastAsia="zh-CN"/>
                    </w:rPr>
                    <w:t>最大值点</w:t>
                  </w:r>
                  <w:r>
                    <w:rPr>
                      <w:rFonts w:hint="default" w:ascii="Times New Roman" w:hAnsi="Times New Roman" w:cs="Times New Roman" w:eastAsiaTheme="minorEastAsia"/>
                      <w:b/>
                      <w:color w:val="auto"/>
                      <w:sz w:val="21"/>
                      <w:szCs w:val="21"/>
                    </w:rPr>
                    <w:t>空间相对位置/m</w:t>
                  </w:r>
                </w:p>
              </w:tc>
              <w:tc>
                <w:tcPr>
                  <w:tcW w:w="85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时段</w:t>
                  </w:r>
                </w:p>
              </w:tc>
              <w:tc>
                <w:tcPr>
                  <w:tcW w:w="12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贡献值（dB</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A</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w:t>
                  </w:r>
                </w:p>
              </w:tc>
              <w:tc>
                <w:tcPr>
                  <w:tcW w:w="123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标准限值（dB</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A</w:t>
                  </w:r>
                  <w:r>
                    <w:rPr>
                      <w:rFonts w:hint="default" w:ascii="Times New Roman" w:hAnsi="Times New Roman" w:cs="Times New Roman"/>
                      <w:b/>
                      <w:color w:val="auto"/>
                      <w:sz w:val="21"/>
                      <w:szCs w:val="21"/>
                      <w:lang w:eastAsia="zh-CN"/>
                    </w:rPr>
                    <w:t>）</w:t>
                  </w:r>
                  <w:r>
                    <w:rPr>
                      <w:rFonts w:hint="default" w:ascii="Times New Roman" w:hAnsi="Times New Roman" w:cs="Times New Roman" w:eastAsiaTheme="minorEastAsia"/>
                      <w:b/>
                      <w:color w:val="auto"/>
                      <w:sz w:val="21"/>
                      <w:szCs w:val="21"/>
                    </w:rPr>
                    <w:t>）</w:t>
                  </w:r>
                </w:p>
              </w:tc>
              <w:tc>
                <w:tcPr>
                  <w:tcW w:w="101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94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X</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Y</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Z</w:t>
                  </w:r>
                </w:p>
              </w:tc>
              <w:tc>
                <w:tcPr>
                  <w:tcW w:w="85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c>
                <w:tcPr>
                  <w:tcW w:w="12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c>
                <w:tcPr>
                  <w:tcW w:w="123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bookmarkEnd w:id="44"/>
              </w:tc>
              <w:tc>
                <w:tcPr>
                  <w:tcW w:w="101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东侧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91.46</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-23.12</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南侧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36.51</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,-29.4</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47.6</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西侧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8.09</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12.67</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37.4</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94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北侧</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55.67</w:t>
                  </w:r>
                </w:p>
              </w:tc>
              <w:tc>
                <w:tcPr>
                  <w:tcW w:w="75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微软雅黑" w:cs="Times New Roman"/>
                      <w:i w:val="0"/>
                      <w:iCs w:val="0"/>
                      <w:caps w:val="0"/>
                      <w:color w:val="auto"/>
                      <w:spacing w:val="0"/>
                      <w:kern w:val="0"/>
                      <w:sz w:val="21"/>
                      <w:szCs w:val="21"/>
                      <w:lang w:val="en-US" w:eastAsia="zh-CN" w:bidi="ar"/>
                    </w:rPr>
                    <w:t>13.88</w:t>
                  </w:r>
                </w:p>
              </w:tc>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1.2</w:t>
                  </w:r>
                </w:p>
              </w:tc>
              <w:tc>
                <w:tcPr>
                  <w:tcW w:w="85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昼间</w:t>
                  </w:r>
                </w:p>
              </w:tc>
              <w:tc>
                <w:tcPr>
                  <w:tcW w:w="123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宋体" w:cs="Times New Roman"/>
                      <w:color w:val="auto"/>
                      <w:sz w:val="21"/>
                      <w:szCs w:val="21"/>
                      <w:lang w:val="en-US" w:eastAsia="zh-CN"/>
                    </w:rPr>
                    <w:t>43.2</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60</w:t>
                  </w:r>
                </w:p>
              </w:tc>
              <w:tc>
                <w:tcPr>
                  <w:tcW w:w="101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color w:val="auto"/>
                      <w:sz w:val="21"/>
                      <w:szCs w:val="21"/>
                    </w:rPr>
                    <w:t>达标</w:t>
                  </w:r>
                </w:p>
              </w:tc>
            </w:tr>
          </w:tbl>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lang w:val="en-US" w:eastAsia="zh-CN"/>
              </w:rPr>
              <w:t>由于项目不在夜间生产，故本次噪声预测仅对昼间厂界噪声进行预测。</w:t>
            </w:r>
            <w:r>
              <w:rPr>
                <w:rFonts w:hint="default" w:ascii="Times New Roman" w:hAnsi="Times New Roman" w:eastAsia="宋体" w:cs="Times New Roman"/>
                <w:color w:val="auto"/>
                <w:sz w:val="24"/>
              </w:rPr>
              <w:t>由上表可见，本项目建成后</w:t>
            </w:r>
            <w:r>
              <w:rPr>
                <w:rFonts w:hint="default" w:ascii="Times New Roman" w:hAnsi="Times New Roman" w:eastAsia="宋体" w:cs="Times New Roman"/>
                <w:color w:val="auto"/>
                <w:kern w:val="0"/>
                <w:sz w:val="24"/>
                <w:szCs w:val="24"/>
                <w:lang w:eastAsia="zh-CN"/>
              </w:rPr>
              <w:t>厂界</w:t>
            </w:r>
            <w:r>
              <w:rPr>
                <w:rFonts w:hint="eastAsia" w:ascii="Times New Roman" w:hAnsi="Times New Roman" w:eastAsia="宋体" w:cs="Times New Roman"/>
                <w:color w:val="auto"/>
                <w:kern w:val="0"/>
                <w:sz w:val="24"/>
                <w:szCs w:val="24"/>
                <w:lang w:val="en-US" w:eastAsia="zh-CN"/>
              </w:rPr>
              <w:t>达到</w:t>
            </w:r>
            <w:r>
              <w:rPr>
                <w:rFonts w:hint="default" w:ascii="Times New Roman" w:hAnsi="Times New Roman" w:eastAsia="宋体" w:cs="Times New Roman"/>
                <w:color w:val="auto"/>
                <w:kern w:val="0"/>
                <w:sz w:val="24"/>
                <w:szCs w:val="24"/>
              </w:rPr>
              <w:t>《工业企业厂界环境噪声排放标准》（GB12348-2008）</w:t>
            </w:r>
            <w:r>
              <w:rPr>
                <w:rFonts w:hint="default"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类标准</w:t>
            </w:r>
            <w:r>
              <w:rPr>
                <w:rFonts w:hint="default" w:ascii="Times New Roman" w:hAnsi="Times New Roman" w:eastAsia="宋体" w:cs="Times New Roman"/>
                <w:color w:val="auto"/>
                <w:kern w:val="0"/>
                <w:sz w:val="24"/>
                <w:szCs w:val="24"/>
                <w:lang w:eastAsia="zh-CN"/>
              </w:rPr>
              <w:t>。</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敏感点分析</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离项目区最近</w:t>
            </w:r>
            <w:r>
              <w:rPr>
                <w:rFonts w:hint="default" w:ascii="Times New Roman" w:hAnsi="Times New Roman" w:cs="Times New Roman"/>
                <w:color w:val="000000" w:themeColor="text1"/>
                <w:sz w:val="24"/>
                <w:szCs w:val="24"/>
                <w:lang w:val="en-US" w:eastAsia="zh-CN"/>
                <w14:textFill>
                  <w14:solidFill>
                    <w14:schemeClr w14:val="tx1"/>
                  </w14:solidFill>
                </w14:textFill>
              </w:rPr>
              <w:t>敏感</w:t>
            </w:r>
            <w:r>
              <w:rPr>
                <w:rFonts w:hint="default" w:ascii="Times New Roman" w:hAnsi="Times New Roman" w:cs="Times New Roman"/>
                <w:color w:val="000000" w:themeColor="text1"/>
                <w:sz w:val="24"/>
                <w:szCs w:val="24"/>
                <w:lang w:eastAsia="zh-CN"/>
                <w14:textFill>
                  <w14:solidFill>
                    <w14:schemeClr w14:val="tx1"/>
                  </w14:solidFill>
                </w14:textFill>
              </w:rPr>
              <w:t>点</w:t>
            </w:r>
            <w:r>
              <w:rPr>
                <w:rFonts w:hint="default" w:ascii="Times New Roman" w:hAnsi="Times New Roman" w:cs="Times New Roman"/>
                <w:color w:val="000000" w:themeColor="text1"/>
                <w:sz w:val="24"/>
                <w:szCs w:val="24"/>
                <w:lang w:val="en-US" w:eastAsia="zh-CN"/>
                <w14:textFill>
                  <w14:solidFill>
                    <w14:schemeClr w14:val="tx1"/>
                  </w14:solidFill>
                </w14:textFill>
              </w:rPr>
              <w:t>是30</w:t>
            </w:r>
            <w:r>
              <w:rPr>
                <w:rFonts w:hint="default" w:ascii="Times New Roman" w:hAnsi="Times New Roman" w:cs="Times New Roman"/>
                <w:color w:val="000000" w:themeColor="text1"/>
                <w:sz w:val="24"/>
                <w:szCs w:val="24"/>
                <w:lang w:eastAsia="zh-CN"/>
                <w14:textFill>
                  <w14:solidFill>
                    <w14:schemeClr w14:val="tx1"/>
                  </w14:solidFill>
                </w14:textFill>
              </w:rPr>
              <w:t>m处的</w:t>
            </w:r>
            <w:r>
              <w:rPr>
                <w:rFonts w:hint="eastAsia" w:ascii="Times New Roman" w:hAnsi="Times New Roman" w:cs="Times New Roman"/>
                <w:color w:val="000000" w:themeColor="text1"/>
                <w:sz w:val="24"/>
                <w:szCs w:val="24"/>
                <w:lang w:val="en-US" w:eastAsia="zh-CN"/>
                <w14:textFill>
                  <w14:solidFill>
                    <w14:schemeClr w14:val="tx1"/>
                  </w14:solidFill>
                </w14:textFill>
              </w:rPr>
              <w:t>散户养殖圈</w:t>
            </w:r>
            <w:r>
              <w:rPr>
                <w:rFonts w:hint="default" w:ascii="Times New Roman" w:hAnsi="Times New Roman" w:cs="Times New Roman"/>
                <w:color w:val="000000" w:themeColor="text1"/>
                <w:sz w:val="24"/>
                <w:szCs w:val="24"/>
                <w:lang w:val="en-US" w:eastAsia="zh-CN"/>
                <w14:textFill>
                  <w14:solidFill>
                    <w14:schemeClr w14:val="tx1"/>
                  </w14:solidFill>
                </w14:textFill>
              </w:rPr>
              <w:t>及86m处的七登</w:t>
            </w:r>
            <w:r>
              <w:rPr>
                <w:rFonts w:hint="default" w:ascii="Times New Roman" w:hAnsi="Times New Roman" w:cs="Times New Roman"/>
                <w:color w:val="000000" w:themeColor="text1"/>
                <w:sz w:val="24"/>
                <w:szCs w:val="24"/>
                <w:lang w:eastAsia="zh-CN"/>
                <w14:textFill>
                  <w14:solidFill>
                    <w14:schemeClr w14:val="tx1"/>
                  </w14:solidFill>
                </w14:textFill>
              </w:rPr>
              <w:t>村，通过预测模型计算，敏感目标判定预测值达标情况</w:t>
            </w:r>
            <w:r>
              <w:rPr>
                <w:rFonts w:hint="default" w:ascii="Times New Roman" w:hAnsi="Times New Roman" w:cs="Times New Roman"/>
                <w:snapToGrid w:val="0"/>
                <w:color w:val="000000" w:themeColor="text1"/>
                <w:sz w:val="24"/>
                <w:szCs w:val="24"/>
                <w:lang w:eastAsia="zh-CN"/>
                <w14:textFill>
                  <w14:solidFill>
                    <w14:schemeClr w14:val="tx1"/>
                  </w14:solidFill>
                </w14:textFill>
              </w:rPr>
              <w:t>结果见下表：</w:t>
            </w:r>
          </w:p>
          <w:p>
            <w:pPr>
              <w:spacing w:line="240" w:lineRule="auto"/>
              <w:ind w:firstLine="0" w:firstLineChars="0"/>
              <w:jc w:val="center"/>
              <w:rPr>
                <w:rFonts w:hint="default" w:ascii="Times New Roman" w:hAnsi="Times New Roman" w:cs="Times New Roman"/>
                <w:color w:val="000000" w:themeColor="text1"/>
                <w:kern w:val="2"/>
                <w:sz w:val="24"/>
                <w:szCs w:val="24"/>
                <w:lang w:eastAsia="zh-CN" w:bidi="ar-SA"/>
                <w14:textFill>
                  <w14:solidFill>
                    <w14:schemeClr w14:val="tx1"/>
                  </w14:solidFill>
                </w14:textFill>
              </w:rPr>
            </w:pPr>
            <w:r>
              <w:rPr>
                <w:rFonts w:hint="default" w:ascii="Times New Roman" w:hAnsi="Times New Roman" w:cs="Times New Roman"/>
                <w:b/>
                <w:color w:val="000000" w:themeColor="text1"/>
                <w:kern w:val="24"/>
                <w:sz w:val="21"/>
                <w:szCs w:val="21"/>
                <w14:textFill>
                  <w14:solidFill>
                    <w14:schemeClr w14:val="tx1"/>
                  </w14:solidFill>
                </w14:textFill>
              </w:rPr>
              <w:t>表</w:t>
            </w:r>
            <w:r>
              <w:rPr>
                <w:rFonts w:hint="default" w:ascii="Times New Roman" w:hAnsi="Times New Roman" w:cs="Times New Roman"/>
                <w:b/>
                <w:color w:val="000000" w:themeColor="text1"/>
                <w:kern w:val="24"/>
                <w:sz w:val="21"/>
                <w:szCs w:val="21"/>
                <w:lang w:val="en-US" w:eastAsia="zh-CN"/>
                <w14:textFill>
                  <w14:solidFill>
                    <w14:schemeClr w14:val="tx1"/>
                  </w14:solidFill>
                </w14:textFill>
              </w:rPr>
              <w:t>4-</w:t>
            </w:r>
            <w:r>
              <w:rPr>
                <w:rFonts w:hint="eastAsia" w:ascii="Times New Roman" w:hAnsi="Times New Roman" w:cs="Times New Roman"/>
                <w:b/>
                <w:color w:val="000000" w:themeColor="text1"/>
                <w:kern w:val="24"/>
                <w:sz w:val="21"/>
                <w:szCs w:val="21"/>
                <w:lang w:val="en-US" w:eastAsia="zh-CN"/>
                <w14:textFill>
                  <w14:solidFill>
                    <w14:schemeClr w14:val="tx1"/>
                  </w14:solidFill>
                </w14:textFill>
              </w:rPr>
              <w:t>14</w:t>
            </w:r>
            <w:r>
              <w:rPr>
                <w:rFonts w:hint="default" w:ascii="Times New Roman" w:hAnsi="Times New Roman" w:cs="Times New Roman"/>
                <w:b/>
                <w:color w:val="000000" w:themeColor="text1"/>
                <w:sz w:val="21"/>
                <w:szCs w:val="21"/>
                <w14:textFill>
                  <w14:solidFill>
                    <w14:schemeClr w14:val="tx1"/>
                  </w14:solidFill>
                </w14:textFill>
              </w:rPr>
              <w:t>工业企业声环境保护目标噪声预测结果与达标分析表</w:t>
            </w:r>
          </w:p>
          <w:tbl>
            <w:tblPr>
              <w:tblStyle w:val="27"/>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52"/>
              <w:gridCol w:w="1452"/>
              <w:gridCol w:w="1452"/>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restart"/>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452" w:type="dxa"/>
                  <w:vMerge w:val="restart"/>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声环境保护目标名称</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噪声标准值（dB（A））</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噪声贡献值（dB（A））</w:t>
                  </w:r>
                </w:p>
              </w:tc>
              <w:tc>
                <w:tcPr>
                  <w:tcW w:w="1453"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噪声背景值（dB（A））</w:t>
                  </w:r>
                </w:p>
              </w:tc>
              <w:tc>
                <w:tcPr>
                  <w:tcW w:w="1453"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噪声预测值（dB（A））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p>
              </w:tc>
              <w:tc>
                <w:tcPr>
                  <w:tcW w:w="1452" w:type="dxa"/>
                  <w:vMerge w:val="continue"/>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453" w:type="dxa"/>
                </w:tcPr>
                <w:p>
                  <w:pPr>
                    <w:spacing w:after="0" w:line="360" w:lineRule="auto"/>
                    <w:jc w:val="both"/>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c>
                <w:tcPr>
                  <w:tcW w:w="1453" w:type="dxa"/>
                </w:tcPr>
                <w:p>
                  <w:pPr>
                    <w:spacing w:after="0" w:line="360" w:lineRule="auto"/>
                    <w:jc w:val="both"/>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散户养殖圈</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452"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14</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七登</w:t>
                  </w:r>
                  <w:r>
                    <w:rPr>
                      <w:rFonts w:hint="default" w:ascii="Times New Roman" w:hAnsi="Times New Roman" w:cs="Times New Roman"/>
                      <w:color w:val="000000" w:themeColor="text1"/>
                      <w:sz w:val="21"/>
                      <w:szCs w:val="21"/>
                      <w14:textFill>
                        <w14:solidFill>
                          <w14:schemeClr w14:val="tx1"/>
                        </w14:solidFill>
                      </w14:textFill>
                    </w:rPr>
                    <w:t>村</w:t>
                  </w:r>
                </w:p>
              </w:tc>
              <w:tc>
                <w:tcPr>
                  <w:tcW w:w="1452" w:type="dxa"/>
                  <w:vAlign w:val="center"/>
                </w:tcPr>
                <w:p>
                  <w:pPr>
                    <w:spacing w:line="240" w:lineRule="auto"/>
                    <w:ind w:firstLine="0" w:firstLineChars="0"/>
                    <w:jc w:val="center"/>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452"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5</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w:t>
                  </w:r>
                </w:p>
              </w:tc>
              <w:tc>
                <w:tcPr>
                  <w:tcW w:w="1453" w:type="dxa"/>
                </w:tcPr>
                <w:p>
                  <w:pPr>
                    <w:pStyle w:val="24"/>
                    <w:spacing w:after="0" w:line="360" w:lineRule="auto"/>
                    <w:jc w:val="both"/>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vertAlign w:val="baseline"/>
                      <w:lang w:val="en-US" w:eastAsia="zh-CN" w:bidi="ar-SA"/>
                      <w14:textFill>
                        <w14:solidFill>
                          <w14:schemeClr w14:val="tx1"/>
                        </w14:solidFill>
                      </w14:textFill>
                    </w:rPr>
                    <w:t>48.81</w:t>
                  </w:r>
                </w:p>
              </w:tc>
            </w:tr>
          </w:tbl>
          <w:p>
            <w:pPr>
              <w:pStyle w:val="24"/>
              <w:spacing w:after="0" w:line="360" w:lineRule="auto"/>
              <w:ind w:firstLine="480" w:firstLineChars="200"/>
              <w:jc w:val="both"/>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kern w:val="2"/>
                <w:sz w:val="24"/>
                <w:szCs w:val="24"/>
                <w:lang w:eastAsia="zh-CN" w:bidi="ar-SA"/>
                <w14:textFill>
                  <w14:solidFill>
                    <w14:schemeClr w14:val="tx1"/>
                  </w14:solidFill>
                </w14:textFill>
              </w:rPr>
              <w:t>从表</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4-8</w:t>
            </w:r>
            <w:r>
              <w:rPr>
                <w:rFonts w:hint="default" w:ascii="Times New Roman" w:hAnsi="Times New Roman" w:cs="Times New Roman"/>
                <w:color w:val="000000" w:themeColor="text1"/>
                <w:kern w:val="2"/>
                <w:sz w:val="24"/>
                <w:szCs w:val="24"/>
                <w:lang w:eastAsia="zh-CN" w:bidi="ar-SA"/>
                <w14:textFill>
                  <w14:solidFill>
                    <w14:schemeClr w14:val="tx1"/>
                  </w14:solidFill>
                </w14:textFill>
              </w:rPr>
              <w:t>可以看出，运营期项目噪声预测值到达最近敏感点</w:t>
            </w:r>
            <w:r>
              <w:rPr>
                <w:rFonts w:hint="eastAsia" w:ascii="Times New Roman" w:hAnsi="Times New Roman" w:cs="Times New Roman"/>
                <w:color w:val="000000" w:themeColor="text1"/>
                <w:sz w:val="24"/>
                <w:szCs w:val="24"/>
                <w:lang w:val="en-US" w:eastAsia="zh-CN"/>
                <w14:textFill>
                  <w14:solidFill>
                    <w14:schemeClr w14:val="tx1"/>
                  </w14:solidFill>
                </w14:textFill>
              </w:rPr>
              <w:t>散户养殖圈（</w:t>
            </w:r>
            <w:r>
              <w:rPr>
                <w:rFonts w:hint="default" w:ascii="Times New Roman" w:hAnsi="Times New Roman" w:cs="Times New Roman"/>
                <w:color w:val="000000" w:themeColor="text1"/>
                <w:kern w:val="2"/>
                <w:sz w:val="24"/>
                <w:szCs w:val="24"/>
                <w:lang w:eastAsia="zh-CN" w:bidi="ar-SA"/>
                <w14:textFill>
                  <w14:solidFill>
                    <w14:schemeClr w14:val="tx1"/>
                  </w14:solidFill>
                </w14:textFill>
              </w:rPr>
              <w:t>距离项目区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30</w:t>
            </w:r>
            <w:r>
              <w:rPr>
                <w:rFonts w:hint="default" w:ascii="Times New Roman" w:hAnsi="Times New Roman" w:cs="Times New Roman"/>
                <w:color w:val="000000" w:themeColor="text1"/>
                <w:kern w:val="2"/>
                <w:sz w:val="24"/>
                <w:szCs w:val="24"/>
                <w:lang w:eastAsia="zh-CN" w:bidi="ar-SA"/>
                <w14:textFill>
                  <w14:solidFill>
                    <w14:schemeClr w14:val="tx1"/>
                  </w14:solidFill>
                </w14:textFill>
              </w:rPr>
              <w:t>m）为昼间</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48.81</w:t>
            </w:r>
            <w:r>
              <w:rPr>
                <w:rFonts w:hint="default" w:ascii="Times New Roman" w:hAnsi="Times New Roman" w:cs="Times New Roman"/>
                <w:color w:val="000000" w:themeColor="text1"/>
                <w:sz w:val="24"/>
                <w:szCs w:val="24"/>
                <w:lang w:eastAsia="zh-CN"/>
                <w14:textFill>
                  <w14:solidFill>
                    <w14:schemeClr w14:val="tx1"/>
                  </w14:solidFill>
                </w14:textFill>
              </w:rPr>
              <w:t>dB（A），预测值达标</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七登村</w:t>
            </w:r>
            <w:r>
              <w:rPr>
                <w:rFonts w:hint="default" w:ascii="Times New Roman" w:hAnsi="Times New Roman" w:cs="Times New Roman"/>
                <w:color w:val="000000" w:themeColor="text1"/>
                <w:kern w:val="2"/>
                <w:sz w:val="24"/>
                <w:szCs w:val="24"/>
                <w:lang w:eastAsia="zh-CN" w:bidi="ar-SA"/>
                <w14:textFill>
                  <w14:solidFill>
                    <w14:schemeClr w14:val="tx1"/>
                  </w14:solidFill>
                </w14:textFill>
              </w:rPr>
              <w:t>（距离项目区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86</w:t>
            </w:r>
            <w:r>
              <w:rPr>
                <w:rFonts w:hint="default" w:ascii="Times New Roman" w:hAnsi="Times New Roman" w:cs="Times New Roman"/>
                <w:color w:val="000000" w:themeColor="text1"/>
                <w:kern w:val="2"/>
                <w:sz w:val="24"/>
                <w:szCs w:val="24"/>
                <w:lang w:eastAsia="zh-CN" w:bidi="ar-SA"/>
                <w14:textFill>
                  <w14:solidFill>
                    <w14:schemeClr w14:val="tx1"/>
                  </w14:solidFill>
                </w14:textFill>
              </w:rPr>
              <w:t>m）为昼间</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48.81</w:t>
            </w:r>
            <w:r>
              <w:rPr>
                <w:rFonts w:hint="default" w:ascii="Times New Roman" w:hAnsi="Times New Roman" w:cs="Times New Roman"/>
                <w:color w:val="000000" w:themeColor="text1"/>
                <w:sz w:val="24"/>
                <w:szCs w:val="24"/>
                <w:lang w:eastAsia="zh-CN"/>
                <w14:textFill>
                  <w14:solidFill>
                    <w14:schemeClr w14:val="tx1"/>
                  </w14:solidFill>
                </w14:textFill>
              </w:rPr>
              <w:t>dB（A），预测值达标，</w:t>
            </w:r>
            <w:r>
              <w:rPr>
                <w:rFonts w:hint="default" w:ascii="Times New Roman" w:hAnsi="Times New Roman" w:cs="Times New Roman"/>
                <w:color w:val="000000" w:themeColor="text1"/>
                <w:kern w:val="2"/>
                <w:sz w:val="24"/>
                <w:szCs w:val="24"/>
                <w:lang w:eastAsia="zh-CN" w:bidi="ar-SA"/>
                <w14:textFill>
                  <w14:solidFill>
                    <w14:schemeClr w14:val="tx1"/>
                  </w14:solidFill>
                </w14:textFill>
              </w:rPr>
              <w:t>项目产生的噪声对周围环境影响小。</w:t>
            </w:r>
          </w:p>
          <w:p>
            <w:pPr>
              <w:pStyle w:val="2"/>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cs="Times New Roman"/>
                <w:b/>
                <w:bCs/>
                <w:sz w:val="24"/>
                <w:lang w:val="en-US" w:eastAsia="zh-CN"/>
              </w:rPr>
              <w:t>5</w:t>
            </w:r>
            <w:r>
              <w:rPr>
                <w:rFonts w:hint="default" w:ascii="Times New Roman" w:hAnsi="Times New Roman" w:cs="Times New Roman"/>
                <w:b/>
                <w:bCs/>
                <w:sz w:val="24"/>
              </w:rPr>
              <w:t>、</w:t>
            </w:r>
            <w:bookmarkStart w:id="45" w:name="_Toc12141"/>
            <w:r>
              <w:rPr>
                <w:rFonts w:hint="default" w:ascii="Times New Roman" w:hAnsi="Times New Roman" w:eastAsia="宋体" w:cs="Times New Roman"/>
                <w:b/>
                <w:bCs/>
                <w:sz w:val="24"/>
                <w:szCs w:val="24"/>
              </w:rPr>
              <w:t>噪声防治措施</w:t>
            </w:r>
            <w:bookmarkEnd w:id="45"/>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为使厂界噪声能稳定达标，确保项目投产后减轻对周围环境的噪声污染，必须重视对噪声的治理，采取切实有效的降噪措施：</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（1）应选用低噪声设备，减少高噪声源，合理布局，本项目设备主要设置在生产区内，高噪声设备布置在车间中间区域，可减轻营运期噪声对周边环境的影响，在设备选用上，应采用低噪声、振动小的设备；</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（2）对于高声源设备车间考虑隔音措施，如选用隔声性能好的材料，增加隔声量，减少噪声污染，高噪声设备基座应采取防振、减震措施</w:t>
            </w:r>
            <w:r>
              <w:rPr>
                <w:rFonts w:hint="eastAsia" w:ascii="Times New Roman" w:hAnsi="Times New Roman" w:eastAsia="宋体" w:cs="Times New Roman"/>
                <w:color w:val="auto"/>
                <w:sz w:val="24"/>
                <w:lang w:eastAsia="zh-CN"/>
              </w:rPr>
              <w:t>；</w:t>
            </w:r>
          </w:p>
          <w:p>
            <w:pPr>
              <w:pStyle w:val="25"/>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lang w:eastAsia="zh-CN"/>
              </w:rPr>
            </w:pPr>
            <w:r>
              <w:rPr>
                <w:rFonts w:hint="eastAsia" w:ascii="Times New Roman" w:hAnsi="Times New Roman" w:eastAsia="宋体" w:cs="Times New Roman"/>
                <w:color w:val="auto"/>
                <w:kern w:val="2"/>
                <w:sz w:val="24"/>
                <w:szCs w:val="22"/>
                <w:lang w:val="en-US" w:eastAsia="zh-CN" w:bidi="ar-SA"/>
              </w:rPr>
              <w:t>（3）</w:t>
            </w:r>
            <w:r>
              <w:rPr>
                <w:rFonts w:hint="default" w:ascii="Times New Roman" w:hAnsi="Times New Roman" w:eastAsia="宋体" w:cs="Times New Roman"/>
                <w:color w:val="auto"/>
                <w:kern w:val="2"/>
                <w:sz w:val="24"/>
                <w:szCs w:val="22"/>
                <w:lang w:val="en-US" w:eastAsia="zh-CN" w:bidi="ar-SA"/>
              </w:rPr>
              <w:t>在运输、装卸时严格做到文明操作，严禁高声喧哗和抛掷；</w:t>
            </w:r>
          </w:p>
          <w:p>
            <w:pPr>
              <w:pStyle w:val="25"/>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lang w:eastAsia="zh-CN"/>
              </w:rPr>
            </w:pPr>
            <w:r>
              <w:rPr>
                <w:rFonts w:hint="eastAsia" w:ascii="Times New Roman" w:hAnsi="Times New Roman" w:eastAsia="宋体" w:cs="Times New Roman"/>
                <w:color w:val="auto"/>
                <w:kern w:val="2"/>
                <w:sz w:val="24"/>
                <w:szCs w:val="22"/>
                <w:lang w:val="en-US" w:eastAsia="zh-CN" w:bidi="ar-SA"/>
              </w:rPr>
              <w:t>（4）进出厂区的车辆禁止超载，厂内减速慢行，避免紧急避让产生的鸣笛；</w:t>
            </w:r>
          </w:p>
          <w:p>
            <w:pPr>
              <w:pStyle w:val="2"/>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0"/>
              <w:rPr>
                <w:rFonts w:hint="default" w:ascii="Times New Roman" w:hAnsi="Times New Roman" w:eastAsia="宋体" w:cs="Times New Roman"/>
                <w:bCs/>
                <w:color w:val="auto"/>
                <w:kern w:val="0"/>
                <w:sz w:val="24"/>
                <w:highlight w:val="none"/>
              </w:rPr>
            </w:pPr>
            <w:bookmarkStart w:id="46" w:name="_Toc28108"/>
            <w:r>
              <w:rPr>
                <w:rFonts w:hint="default" w:ascii="Times New Roman" w:hAnsi="Times New Roman" w:eastAsia="宋体" w:cs="Times New Roman"/>
                <w:b w:val="0"/>
                <w:bCs w:val="0"/>
                <w:color w:val="auto"/>
                <w:sz w:val="24"/>
                <w:szCs w:val="24"/>
              </w:rPr>
              <w:t>综上所述，项目建成后对周边声环境影响较小。</w:t>
            </w:r>
            <w:bookmarkEnd w:id="46"/>
          </w:p>
          <w:p>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6、</w:t>
            </w:r>
            <w:r>
              <w:rPr>
                <w:rFonts w:hint="default" w:ascii="Times New Roman" w:hAnsi="Times New Roman" w:eastAsia="宋体" w:cs="Times New Roman"/>
                <w:b/>
                <w:bCs/>
                <w:color w:val="auto"/>
                <w:sz w:val="24"/>
              </w:rPr>
              <w:t>监测计划</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w:t>
            </w:r>
            <w:r>
              <w:rPr>
                <w:rFonts w:hint="default"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color w:val="auto"/>
                <w:sz w:val="24"/>
                <w:szCs w:val="24"/>
                <w:lang w:val="en-US" w:eastAsia="zh-CN"/>
              </w:rPr>
              <w:t>排污许可证申请与核发技术规范陶瓷砖瓦工业》（HJ954-2018）</w:t>
            </w:r>
            <w:r>
              <w:rPr>
                <w:rFonts w:hint="default" w:ascii="Times New Roman" w:hAnsi="Times New Roman" w:eastAsia="宋体" w:cs="Times New Roman"/>
                <w:color w:val="auto"/>
                <w:sz w:val="24"/>
              </w:rPr>
              <w:t>，项目噪声监测计划一览表如下。</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15</w:t>
            </w:r>
            <w:r>
              <w:rPr>
                <w:rFonts w:hint="default" w:ascii="Times New Roman" w:hAnsi="Times New Roman" w:eastAsia="宋体" w:cs="Times New Roman"/>
                <w:b/>
                <w:bCs/>
                <w:color w:val="auto"/>
                <w:sz w:val="21"/>
                <w:szCs w:val="21"/>
              </w:rPr>
              <w:t>项目噪声监测一览表</w:t>
            </w:r>
          </w:p>
          <w:tbl>
            <w:tblPr>
              <w:tblStyle w:val="26"/>
              <w:tblW w:w="8688"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5"/>
              <w:gridCol w:w="1676"/>
              <w:gridCol w:w="1184"/>
              <w:gridCol w:w="43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6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监测因子</w:t>
                  </w:r>
                </w:p>
              </w:tc>
              <w:tc>
                <w:tcPr>
                  <w:tcW w:w="11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监测频率</w:t>
                  </w:r>
                </w:p>
              </w:tc>
              <w:tc>
                <w:tcPr>
                  <w:tcW w:w="436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46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厂界</w:t>
                  </w:r>
                  <w:r>
                    <w:rPr>
                      <w:rFonts w:hint="eastAsia" w:ascii="Times New Roman" w:hAnsi="Times New Roman" w:eastAsia="宋体" w:cs="Times New Roman"/>
                      <w:color w:val="auto"/>
                      <w:szCs w:val="21"/>
                      <w:lang w:val="en-US" w:eastAsia="zh-CN"/>
                    </w:rPr>
                    <w:t>四周</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等效A声级</w:t>
                  </w:r>
                </w:p>
              </w:tc>
              <w:tc>
                <w:tcPr>
                  <w:tcW w:w="11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1次/季度</w:t>
                  </w:r>
                </w:p>
              </w:tc>
              <w:tc>
                <w:tcPr>
                  <w:tcW w:w="436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项目厂界</w:t>
                  </w:r>
                  <w:r>
                    <w:rPr>
                      <w:rFonts w:hint="default" w:ascii="Times New Roman" w:hAnsi="Times New Roman" w:eastAsia="宋体" w:cs="Times New Roman"/>
                      <w:color w:val="auto"/>
                      <w:szCs w:val="21"/>
                    </w:rPr>
                    <w:t>执行《工业企业厂界环境噪声排放标准》（GB12348-2008）</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类标准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32"/>
                <w:highlight w:val="none"/>
              </w:rPr>
            </w:pPr>
            <w:r>
              <w:rPr>
                <w:rFonts w:hint="default" w:ascii="Times New Roman" w:hAnsi="Times New Roman" w:eastAsia="宋体" w:cs="Times New Roman"/>
                <w:b/>
                <w:bCs/>
                <w:color w:val="auto"/>
                <w:kern w:val="0"/>
                <w:sz w:val="24"/>
                <w:szCs w:val="32"/>
                <w:highlight w:val="none"/>
                <w:lang w:eastAsia="zh-CN"/>
              </w:rPr>
              <w:t>四</w:t>
            </w:r>
            <w:r>
              <w:rPr>
                <w:rFonts w:hint="default" w:ascii="Times New Roman" w:hAnsi="Times New Roman" w:eastAsia="宋体" w:cs="Times New Roman"/>
                <w:b/>
                <w:bCs/>
                <w:color w:val="auto"/>
                <w:kern w:val="0"/>
                <w:sz w:val="24"/>
                <w:szCs w:val="32"/>
                <w:highlight w:val="none"/>
              </w:rPr>
              <w:t>、</w:t>
            </w:r>
            <w:r>
              <w:rPr>
                <w:rFonts w:hint="default" w:ascii="Times New Roman" w:hAnsi="Times New Roman" w:eastAsia="宋体" w:cs="Times New Roman"/>
                <w:b/>
                <w:bCs w:val="0"/>
                <w:color w:val="auto"/>
                <w:sz w:val="24"/>
                <w:szCs w:val="24"/>
              </w:rPr>
              <w:t>固体废物环境影响分析</w:t>
            </w:r>
          </w:p>
          <w:p>
            <w:pPr>
              <w:pStyle w:val="7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lang w:val="en-US" w:eastAsia="zh-CN"/>
              </w:rPr>
              <w:t>1、</w:t>
            </w:r>
            <w:r>
              <w:rPr>
                <w:rFonts w:hint="default" w:ascii="Times New Roman" w:hAnsi="Times New Roman" w:eastAsia="宋体" w:cs="Times New Roman"/>
                <w:b/>
                <w:color w:val="auto"/>
                <w:kern w:val="0"/>
                <w:sz w:val="24"/>
                <w:highlight w:val="none"/>
              </w:rPr>
              <w:t>固体废物污染源源强核算结果及相关参数</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w:t>
            </w:r>
            <w:r>
              <w:rPr>
                <w:rFonts w:hint="eastAsia" w:ascii="Times New Roman" w:hAnsi="Times New Roman" w:eastAsia="宋体" w:cs="Times New Roman"/>
                <w:b/>
                <w:bCs/>
                <w:color w:val="auto"/>
                <w:sz w:val="21"/>
                <w:szCs w:val="21"/>
                <w:lang w:val="en-US" w:eastAsia="zh-CN"/>
              </w:rPr>
              <w:t>16</w:t>
            </w:r>
            <w:r>
              <w:rPr>
                <w:rFonts w:hint="default" w:ascii="Times New Roman" w:hAnsi="Times New Roman" w:eastAsia="宋体" w:cs="Times New Roman"/>
                <w:b/>
                <w:bCs/>
                <w:color w:val="auto"/>
                <w:sz w:val="21"/>
                <w:szCs w:val="21"/>
              </w:rPr>
              <w:t>固体废物污染源源强核算结果及相关参数一览表</w:t>
            </w:r>
          </w:p>
          <w:tbl>
            <w:tblPr>
              <w:tblStyle w:val="26"/>
              <w:tblW w:w="8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716"/>
              <w:gridCol w:w="834"/>
              <w:gridCol w:w="816"/>
              <w:gridCol w:w="784"/>
              <w:gridCol w:w="550"/>
              <w:gridCol w:w="851"/>
              <w:gridCol w:w="832"/>
              <w:gridCol w:w="783"/>
              <w:gridCol w:w="93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序号</w:t>
                  </w:r>
                </w:p>
              </w:tc>
              <w:tc>
                <w:tcPr>
                  <w:tcW w:w="716"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产生环节</w:t>
                  </w:r>
                </w:p>
              </w:tc>
              <w:tc>
                <w:tcPr>
                  <w:tcW w:w="834"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固体废物名称</w:t>
                  </w:r>
                </w:p>
              </w:tc>
              <w:tc>
                <w:tcPr>
                  <w:tcW w:w="816"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固废属性</w:t>
                  </w:r>
                </w:p>
              </w:tc>
              <w:tc>
                <w:tcPr>
                  <w:tcW w:w="784"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类别及代码</w:t>
                  </w:r>
                </w:p>
              </w:tc>
              <w:tc>
                <w:tcPr>
                  <w:tcW w:w="550"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物理性状</w:t>
                  </w:r>
                </w:p>
              </w:tc>
              <w:tc>
                <w:tcPr>
                  <w:tcW w:w="851"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lang w:eastAsia="zh-CN"/>
                    </w:rPr>
                  </w:pPr>
                  <w:r>
                    <w:rPr>
                      <w:rFonts w:hint="default" w:ascii="Times New Roman" w:hAnsi="Times New Roman" w:eastAsia="宋体" w:cs="Times New Roman"/>
                      <w:b w:val="0"/>
                      <w:bCs/>
                      <w:color w:val="auto"/>
                      <w:kern w:val="0"/>
                      <w:szCs w:val="21"/>
                      <w:highlight w:val="none"/>
                      <w:lang w:eastAsia="zh-CN"/>
                    </w:rPr>
                    <w:t>环境危险特性</w:t>
                  </w:r>
                </w:p>
              </w:tc>
              <w:tc>
                <w:tcPr>
                  <w:tcW w:w="832"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产生量</w:t>
                  </w:r>
                </w:p>
              </w:tc>
              <w:tc>
                <w:tcPr>
                  <w:tcW w:w="783"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rPr>
                    <w:t>贮存方式</w:t>
                  </w:r>
                </w:p>
              </w:tc>
              <w:tc>
                <w:tcPr>
                  <w:tcW w:w="939"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rPr>
                  </w:pPr>
                  <w:r>
                    <w:rPr>
                      <w:rFonts w:hint="default" w:ascii="Times New Roman" w:hAnsi="Times New Roman" w:eastAsia="宋体" w:cs="Times New Roman"/>
                      <w:b w:val="0"/>
                      <w:bCs/>
                      <w:color w:val="auto"/>
                      <w:kern w:val="0"/>
                      <w:szCs w:val="21"/>
                      <w:highlight w:val="none"/>
                      <w:lang w:eastAsia="zh-CN"/>
                    </w:rPr>
                    <w:t>利用处置方式和</w:t>
                  </w:r>
                  <w:r>
                    <w:rPr>
                      <w:rFonts w:hint="default" w:ascii="Times New Roman" w:hAnsi="Times New Roman" w:eastAsia="宋体" w:cs="Times New Roman"/>
                      <w:b w:val="0"/>
                      <w:bCs/>
                      <w:color w:val="auto"/>
                      <w:kern w:val="0"/>
                      <w:szCs w:val="21"/>
                      <w:highlight w:val="none"/>
                    </w:rPr>
                    <w:t>去向</w:t>
                  </w:r>
                </w:p>
              </w:tc>
              <w:tc>
                <w:tcPr>
                  <w:tcW w:w="1284" w:type="dxa"/>
                  <w:noWrap w:val="0"/>
                  <w:vAlign w:val="center"/>
                </w:tcPr>
                <w:p>
                  <w:pPr>
                    <w:adjustRightInd w:val="0"/>
                    <w:snapToGrid w:val="0"/>
                    <w:jc w:val="center"/>
                    <w:rPr>
                      <w:rFonts w:hint="default" w:ascii="Times New Roman" w:hAnsi="Times New Roman" w:eastAsia="宋体" w:cs="Times New Roman"/>
                      <w:b w:val="0"/>
                      <w:bCs/>
                      <w:color w:val="auto"/>
                      <w:kern w:val="0"/>
                      <w:szCs w:val="21"/>
                      <w:highlight w:val="none"/>
                      <w:lang w:eastAsia="zh-CN"/>
                    </w:rPr>
                  </w:pPr>
                  <w:r>
                    <w:rPr>
                      <w:rFonts w:hint="default" w:ascii="Times New Roman" w:hAnsi="Times New Roman" w:eastAsia="宋体" w:cs="Times New Roman"/>
                      <w:b w:val="0"/>
                      <w:bCs/>
                      <w:color w:val="auto"/>
                      <w:kern w:val="0"/>
                      <w:szCs w:val="21"/>
                      <w:highlight w:val="none"/>
                      <w:lang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1</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员工日常生活</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rPr>
                    <w:t>生活垃圾</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一般固废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r>
                    <w:rPr>
                      <w:rFonts w:hint="eastAsia" w:ascii="Times New Roman" w:hAnsi="Times New Roman" w:eastAsia="宋体" w:cs="Times New Roman"/>
                      <w:bCs/>
                      <w:color w:val="auto"/>
                      <w:kern w:val="0"/>
                      <w:szCs w:val="21"/>
                      <w:highlight w:val="none"/>
                      <w:lang w:val="en-US" w:eastAsia="zh-CN"/>
                    </w:rPr>
                    <w:t>5</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生活垃圾桶</w:t>
                  </w:r>
                </w:p>
              </w:tc>
              <w:tc>
                <w:tcPr>
                  <w:tcW w:w="939"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color w:val="auto"/>
                      <w:sz w:val="21"/>
                      <w:szCs w:val="21"/>
                      <w:highlight w:val="none"/>
                    </w:rPr>
                    <w:t>生活垃圾集中分类收集后</w:t>
                  </w:r>
                  <w:r>
                    <w:rPr>
                      <w:rFonts w:hint="default" w:ascii="Times New Roman" w:hAnsi="Times New Roman" w:eastAsia="宋体" w:cs="Times New Roman"/>
                      <w:color w:val="auto"/>
                      <w:sz w:val="21"/>
                      <w:szCs w:val="21"/>
                      <w:highlight w:val="none"/>
                      <w:lang w:eastAsia="zh-CN"/>
                    </w:rPr>
                    <w:t>环卫部门清运处置</w:t>
                  </w:r>
                  <w:r>
                    <w:rPr>
                      <w:rFonts w:hint="default" w:ascii="Times New Roman" w:hAnsi="Times New Roman" w:eastAsia="宋体" w:cs="Times New Roman"/>
                      <w:bCs/>
                      <w:color w:val="auto"/>
                      <w:kern w:val="0"/>
                      <w:szCs w:val="21"/>
                      <w:highlight w:val="none"/>
                    </w:rPr>
                    <w:t>。</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收集后暂存于垃圾收集桶中，不得随意堆放；定期</w:t>
                  </w:r>
                  <w:r>
                    <w:rPr>
                      <w:rFonts w:hint="default" w:ascii="Times New Roman" w:hAnsi="Times New Roman" w:eastAsia="宋体" w:cs="Times New Roman"/>
                      <w:bCs/>
                      <w:color w:val="auto"/>
                      <w:kern w:val="0"/>
                      <w:szCs w:val="21"/>
                      <w:highlight w:val="none"/>
                      <w:lang w:val="en-US" w:eastAsia="zh-CN"/>
                    </w:rPr>
                    <w:t>清运处置</w:t>
                  </w:r>
                  <w:r>
                    <w:rPr>
                      <w:rFonts w:hint="default" w:ascii="Times New Roman" w:hAnsi="Times New Roman" w:eastAsia="宋体" w:cs="Times New Roman"/>
                      <w:bCs/>
                      <w:color w:val="auto"/>
                      <w:kern w:val="0"/>
                      <w:szCs w:val="21"/>
                      <w:highlight w:val="none"/>
                      <w:lang w:eastAsia="zh-CN"/>
                    </w:rPr>
                    <w:t>，避免项目区内因生活垃圾的长期存放产生恶臭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卫生间</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粪便</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一般固废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半固态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0.1t/a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旱厕</w:t>
                  </w:r>
                </w:p>
              </w:tc>
              <w:tc>
                <w:tcPr>
                  <w:tcW w:w="939"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定期委托周围农户清掏，用作农肥</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定期</w:t>
                  </w:r>
                  <w:r>
                    <w:rPr>
                      <w:rFonts w:hint="default" w:ascii="Times New Roman" w:hAnsi="Times New Roman" w:eastAsia="宋体" w:cs="Times New Roman"/>
                      <w:bCs/>
                      <w:color w:val="auto"/>
                      <w:kern w:val="0"/>
                      <w:szCs w:val="21"/>
                      <w:highlight w:val="none"/>
                      <w:lang w:val="en-US" w:eastAsia="zh-CN"/>
                    </w:rPr>
                    <w:t>清掏处置</w:t>
                  </w:r>
                  <w:r>
                    <w:rPr>
                      <w:rFonts w:hint="default" w:ascii="Times New Roman" w:hAnsi="Times New Roman" w:eastAsia="宋体" w:cs="Times New Roman"/>
                      <w:bCs/>
                      <w:color w:val="auto"/>
                      <w:kern w:val="0"/>
                      <w:szCs w:val="21"/>
                      <w:highlight w:val="none"/>
                      <w:lang w:eastAsia="zh-CN"/>
                    </w:rPr>
                    <w:t>，避免长期存放产生恶臭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bidi="ar-SA"/>
                    </w:rPr>
                    <w:t>3</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泥石筛分</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泥土</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一般</w:t>
                  </w:r>
                  <w:r>
                    <w:rPr>
                      <w:rFonts w:hint="eastAsia" w:ascii="Times New Roman" w:hAnsi="Times New Roman" w:eastAsia="宋体" w:cs="Times New Roman"/>
                      <w:bCs/>
                      <w:color w:val="auto"/>
                      <w:kern w:val="0"/>
                      <w:szCs w:val="21"/>
                      <w:highlight w:val="none"/>
                      <w:lang w:val="en-US" w:eastAsia="zh-CN"/>
                    </w:rPr>
                    <w:t>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10000</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废土堆场</w:t>
                  </w:r>
                </w:p>
              </w:tc>
              <w:tc>
                <w:tcPr>
                  <w:tcW w:w="939"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定期清理</w:t>
                  </w:r>
                  <w:r>
                    <w:rPr>
                      <w:rFonts w:hint="eastAsia" w:ascii="Times New Roman" w:hAnsi="Times New Roman" w:eastAsia="宋体" w:cs="Times New Roman"/>
                      <w:bCs/>
                      <w:color w:val="auto"/>
                      <w:kern w:val="0"/>
                      <w:szCs w:val="21"/>
                      <w:highlight w:val="none"/>
                      <w:lang w:val="en-US" w:eastAsia="zh-CN"/>
                    </w:rPr>
                    <w:t>，不长久堆存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 w:val="21"/>
                      <w:szCs w:val="21"/>
                      <w:highlight w:val="none"/>
                      <w:lang w:val="en-US" w:eastAsia="zh-CN" w:bidi="ar-SA"/>
                    </w:rPr>
                  </w:pPr>
                  <w:r>
                    <w:rPr>
                      <w:rFonts w:hint="eastAsia" w:ascii="Times New Roman" w:hAnsi="Times New Roman" w:eastAsia="宋体" w:cs="Times New Roman"/>
                      <w:bCs/>
                      <w:color w:val="auto"/>
                      <w:kern w:val="0"/>
                      <w:sz w:val="21"/>
                      <w:szCs w:val="21"/>
                      <w:highlight w:val="none"/>
                      <w:lang w:val="en-US" w:eastAsia="zh-CN" w:bidi="ar-SA"/>
                    </w:rPr>
                    <w:t>4</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沉淀池池渣</w:t>
                  </w:r>
                </w:p>
              </w:tc>
              <w:tc>
                <w:tcPr>
                  <w:tcW w:w="834" w:type="dxa"/>
                  <w:noWrap w:val="0"/>
                  <w:vAlign w:val="center"/>
                </w:tcPr>
                <w:p>
                  <w:pPr>
                    <w:adjustRightInd w:val="0"/>
                    <w:snapToGrid w:val="0"/>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泥土</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一般</w:t>
                  </w:r>
                  <w:r>
                    <w:rPr>
                      <w:rFonts w:hint="eastAsia" w:ascii="Times New Roman" w:hAnsi="Times New Roman" w:eastAsia="宋体" w:cs="Times New Roman"/>
                      <w:bCs/>
                      <w:color w:val="auto"/>
                      <w:kern w:val="0"/>
                      <w:szCs w:val="21"/>
                      <w:highlight w:val="none"/>
                      <w:lang w:val="en-US" w:eastAsia="zh-CN"/>
                    </w:rPr>
                    <w:t>固废</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0.1</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废土堆场</w:t>
                  </w:r>
                </w:p>
              </w:tc>
              <w:tc>
                <w:tcPr>
                  <w:tcW w:w="939" w:type="dxa"/>
                  <w:noWrap w:val="0"/>
                  <w:vAlign w:val="center"/>
                </w:tcPr>
                <w:p>
                  <w:pPr>
                    <w:adjustRightInd w:val="0"/>
                    <w:snapToGrid w:val="0"/>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12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定期清理</w:t>
                  </w:r>
                  <w:r>
                    <w:rPr>
                      <w:rFonts w:hint="eastAsia" w:ascii="Times New Roman" w:hAnsi="Times New Roman" w:eastAsia="宋体" w:cs="Times New Roman"/>
                      <w:bCs/>
                      <w:color w:val="auto"/>
                      <w:kern w:val="0"/>
                      <w:szCs w:val="21"/>
                      <w:highlight w:val="none"/>
                      <w:lang w:val="en-US" w:eastAsia="zh-CN"/>
                    </w:rPr>
                    <w:t>，不长久堆存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 w:val="21"/>
                      <w:szCs w:val="21"/>
                      <w:highlight w:val="none"/>
                      <w:lang w:val="en-US" w:eastAsia="zh-CN" w:bidi="ar-SA"/>
                    </w:rPr>
                  </w:pPr>
                  <w:r>
                    <w:rPr>
                      <w:rFonts w:hint="eastAsia" w:ascii="Times New Roman" w:hAnsi="Times New Roman" w:eastAsia="宋体" w:cs="Times New Roman"/>
                      <w:bCs/>
                      <w:color w:val="auto"/>
                      <w:kern w:val="0"/>
                      <w:szCs w:val="21"/>
                      <w:highlight w:val="none"/>
                      <w:lang w:val="en-US" w:eastAsia="zh-CN"/>
                    </w:rPr>
                    <w:t>5</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生产过程</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eastAsia="zh-CN"/>
                    </w:rPr>
                    <w:t>废机油</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危险废物</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eastAsia="zh-CN"/>
                    </w:rPr>
                    <w:t>“HW</w:t>
                  </w:r>
                  <w:r>
                    <w:rPr>
                      <w:rFonts w:hint="default" w:ascii="Times New Roman" w:hAnsi="Times New Roman" w:eastAsia="宋体" w:cs="Times New Roman"/>
                      <w:bCs/>
                      <w:color w:val="auto"/>
                      <w:kern w:val="0"/>
                      <w:szCs w:val="21"/>
                      <w:highlight w:val="none"/>
                      <w:lang w:val="en-US" w:eastAsia="zh-CN"/>
                    </w:rPr>
                    <w:t>08</w:t>
                  </w:r>
                </w:p>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900-</w:t>
                  </w:r>
                  <w:r>
                    <w:rPr>
                      <w:rFonts w:hint="default" w:ascii="Times New Roman" w:hAnsi="Times New Roman" w:eastAsia="宋体" w:cs="Times New Roman"/>
                      <w:bCs/>
                      <w:color w:val="auto"/>
                      <w:kern w:val="0"/>
                      <w:szCs w:val="21"/>
                      <w:highlight w:val="none"/>
                      <w:lang w:val="en-US" w:eastAsia="zh-CN"/>
                    </w:rPr>
                    <w:t>214</w:t>
                  </w:r>
                  <w:r>
                    <w:rPr>
                      <w:rFonts w:hint="default" w:ascii="Times New Roman" w:hAnsi="Times New Roman" w:eastAsia="宋体" w:cs="Times New Roman"/>
                      <w:bCs/>
                      <w:color w:val="auto"/>
                      <w:kern w:val="0"/>
                      <w:szCs w:val="21"/>
                      <w:highlight w:val="none"/>
                    </w:rPr>
                    <w:t>-</w:t>
                  </w:r>
                  <w:r>
                    <w:rPr>
                      <w:rFonts w:hint="default" w:ascii="Times New Roman" w:hAnsi="Times New Roman" w:eastAsia="宋体" w:cs="Times New Roman"/>
                      <w:bCs/>
                      <w:color w:val="auto"/>
                      <w:kern w:val="0"/>
                      <w:szCs w:val="21"/>
                      <w:highlight w:val="none"/>
                      <w:lang w:val="en-US" w:eastAsia="zh-CN"/>
                    </w:rPr>
                    <w:t>08</w:t>
                  </w:r>
                  <w:r>
                    <w:rPr>
                      <w:rFonts w:hint="default" w:ascii="Times New Roman" w:hAnsi="Times New Roman" w:eastAsia="宋体" w:cs="Times New Roman"/>
                      <w:bCs/>
                      <w:color w:val="auto"/>
                      <w:kern w:val="0"/>
                      <w:szCs w:val="21"/>
                      <w:highlight w:val="none"/>
                      <w:lang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液态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color w:val="auto"/>
                      <w:sz w:val="21"/>
                      <w:szCs w:val="21"/>
                      <w:highlight w:val="none"/>
                    </w:rPr>
                    <w:t>T，I</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0.0</w:t>
                  </w:r>
                  <w:r>
                    <w:rPr>
                      <w:rFonts w:hint="eastAsia" w:ascii="Times New Roman" w:hAnsi="Times New Roman" w:eastAsia="宋体" w:cs="Times New Roman"/>
                      <w:bCs/>
                      <w:color w:val="auto"/>
                      <w:kern w:val="0"/>
                      <w:szCs w:val="21"/>
                      <w:highlight w:val="none"/>
                      <w:lang w:val="en-US" w:eastAsia="zh-CN"/>
                    </w:rPr>
                    <w:t>5</w:t>
                  </w:r>
                  <w:r>
                    <w:rPr>
                      <w:rFonts w:hint="default" w:ascii="Times New Roman" w:hAnsi="Times New Roman" w:eastAsia="宋体" w:cs="Times New Roman"/>
                      <w:bCs/>
                      <w:color w:val="auto"/>
                      <w:kern w:val="0"/>
                      <w:szCs w:val="21"/>
                      <w:highlight w:val="none"/>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用收集桶收集后暂存于危险废物暂存间</w:t>
                  </w:r>
                </w:p>
              </w:tc>
              <w:tc>
                <w:tcPr>
                  <w:tcW w:w="939" w:type="dxa"/>
                  <w:vMerge w:val="restart"/>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委托有资质单位处置</w:t>
                  </w:r>
                </w:p>
              </w:tc>
              <w:tc>
                <w:tcPr>
                  <w:tcW w:w="1284" w:type="dxa"/>
                  <w:vMerge w:val="restart"/>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危险废物暂存间按重点防腐、防渗要求建设，设置收集沟及收集井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6</w:t>
                  </w:r>
                </w:p>
              </w:tc>
              <w:tc>
                <w:tcPr>
                  <w:tcW w:w="7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生产过程</w:t>
                  </w:r>
                </w:p>
              </w:tc>
              <w:tc>
                <w:tcPr>
                  <w:tcW w:w="83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eastAsia="zh-CN"/>
                    </w:rPr>
                    <w:t>废机油</w:t>
                  </w:r>
                  <w:r>
                    <w:rPr>
                      <w:rFonts w:hint="default" w:ascii="Times New Roman" w:hAnsi="Times New Roman" w:eastAsia="宋体" w:cs="Times New Roman"/>
                      <w:bCs/>
                      <w:color w:val="auto"/>
                      <w:kern w:val="0"/>
                      <w:szCs w:val="21"/>
                      <w:highlight w:val="none"/>
                      <w:lang w:eastAsia="zh-CN"/>
                    </w:rPr>
                    <w:t>桶</w:t>
                  </w:r>
                </w:p>
              </w:tc>
              <w:tc>
                <w:tcPr>
                  <w:tcW w:w="81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eastAsia="zh-CN"/>
                    </w:rPr>
                    <w:t>危险废物</w:t>
                  </w:r>
                </w:p>
              </w:tc>
              <w:tc>
                <w:tcPr>
                  <w:tcW w:w="784"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eastAsia="zh-CN"/>
                    </w:rPr>
                    <w:t>“HW</w:t>
                  </w:r>
                  <w:r>
                    <w:rPr>
                      <w:rFonts w:hint="default" w:ascii="Times New Roman" w:hAnsi="Times New Roman" w:eastAsia="宋体" w:cs="Times New Roman"/>
                      <w:bCs/>
                      <w:color w:val="auto"/>
                      <w:kern w:val="0"/>
                      <w:szCs w:val="21"/>
                      <w:highlight w:val="none"/>
                      <w:lang w:val="en-US" w:eastAsia="zh-CN"/>
                    </w:rPr>
                    <w:t>08</w:t>
                  </w:r>
                </w:p>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900-</w:t>
                  </w:r>
                  <w:r>
                    <w:rPr>
                      <w:rFonts w:hint="default" w:ascii="Times New Roman" w:hAnsi="Times New Roman" w:eastAsia="宋体" w:cs="Times New Roman"/>
                      <w:bCs/>
                      <w:color w:val="auto"/>
                      <w:kern w:val="0"/>
                      <w:szCs w:val="21"/>
                      <w:highlight w:val="none"/>
                      <w:lang w:val="en-US" w:eastAsia="zh-CN"/>
                    </w:rPr>
                    <w:t>249</w:t>
                  </w:r>
                  <w:r>
                    <w:rPr>
                      <w:rFonts w:hint="default"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08</w:t>
                  </w:r>
                  <w:r>
                    <w:rPr>
                      <w:rFonts w:hint="default" w:ascii="Times New Roman" w:hAnsi="Times New Roman" w:eastAsia="宋体" w:cs="Times New Roman"/>
                      <w:bCs/>
                      <w:color w:val="auto"/>
                      <w:kern w:val="0"/>
                      <w:szCs w:val="21"/>
                      <w:highlight w:val="none"/>
                      <w:lang w:eastAsia="zh-CN"/>
                    </w:rPr>
                    <w:t>”</w:t>
                  </w:r>
                </w:p>
              </w:tc>
              <w:tc>
                <w:tcPr>
                  <w:tcW w:w="550"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固态</w:t>
                  </w:r>
                </w:p>
              </w:tc>
              <w:tc>
                <w:tcPr>
                  <w:tcW w:w="851"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T，I</w:t>
                  </w:r>
                </w:p>
              </w:tc>
              <w:tc>
                <w:tcPr>
                  <w:tcW w:w="83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0.0</w:t>
                  </w:r>
                  <w:r>
                    <w:rPr>
                      <w:rFonts w:hint="eastAsia" w:ascii="Times New Roman" w:hAnsi="Times New Roman" w:eastAsia="宋体" w:cs="Times New Roman"/>
                      <w:bCs/>
                      <w:color w:val="auto"/>
                      <w:kern w:val="0"/>
                      <w:szCs w:val="21"/>
                      <w:highlight w:val="none"/>
                      <w:lang w:val="en-US" w:eastAsia="zh-CN"/>
                    </w:rPr>
                    <w:t>1</w:t>
                  </w:r>
                  <w:r>
                    <w:rPr>
                      <w:rFonts w:hint="default" w:ascii="Times New Roman" w:hAnsi="Times New Roman" w:eastAsia="宋体" w:cs="Times New Roman"/>
                      <w:bCs/>
                      <w:color w:val="auto"/>
                      <w:kern w:val="0"/>
                      <w:szCs w:val="21"/>
                      <w:highlight w:val="none"/>
                      <w:lang w:val="en-US" w:eastAsia="zh-CN"/>
                    </w:rPr>
                    <w:t>t/a</w:t>
                  </w:r>
                </w:p>
              </w:tc>
              <w:tc>
                <w:tcPr>
                  <w:tcW w:w="783"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收集后暂存于危险废物暂存间</w:t>
                  </w:r>
                </w:p>
              </w:tc>
              <w:tc>
                <w:tcPr>
                  <w:tcW w:w="939" w:type="dxa"/>
                  <w:vMerge w:val="continue"/>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p>
              </w:tc>
              <w:tc>
                <w:tcPr>
                  <w:tcW w:w="1284" w:type="dxa"/>
                  <w:vMerge w:val="continue"/>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p>
              </w:tc>
            </w:tr>
          </w:tbl>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2"/>
              <w:textAlignment w:val="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lang w:val="en-US" w:eastAsia="zh-CN"/>
              </w:rPr>
              <w:t>2、</w:t>
            </w:r>
            <w:r>
              <w:rPr>
                <w:rFonts w:hint="default" w:ascii="Times New Roman" w:hAnsi="Times New Roman" w:eastAsia="宋体" w:cs="Times New Roman"/>
                <w:b/>
                <w:color w:val="auto"/>
                <w:kern w:val="0"/>
                <w:sz w:val="24"/>
                <w:highlight w:val="none"/>
              </w:rPr>
              <w:t>固体废物核算</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本项目固体废物包括</w:t>
            </w:r>
            <w:r>
              <w:rPr>
                <w:rFonts w:hint="default" w:ascii="Times New Roman" w:hAnsi="Times New Roman" w:eastAsia="宋体" w:cs="Times New Roman"/>
                <w:bCs/>
                <w:color w:val="auto"/>
                <w:kern w:val="0"/>
                <w:sz w:val="24"/>
                <w:highlight w:val="none"/>
                <w:lang w:val="en-US" w:eastAsia="zh-CN"/>
              </w:rPr>
              <w:t>生活垃圾、</w:t>
            </w:r>
            <w:r>
              <w:rPr>
                <w:rFonts w:hint="eastAsia" w:ascii="Times New Roman" w:hAnsi="Times New Roman" w:eastAsia="宋体" w:cs="Times New Roman"/>
                <w:bCs/>
                <w:color w:val="auto"/>
                <w:kern w:val="0"/>
                <w:sz w:val="24"/>
                <w:highlight w:val="none"/>
                <w:lang w:val="en-US" w:eastAsia="zh-CN"/>
              </w:rPr>
              <w:t>废土、旱厕粪便、沉淀池池渣</w:t>
            </w:r>
            <w:r>
              <w:rPr>
                <w:rFonts w:hint="default" w:ascii="Times New Roman" w:hAnsi="Times New Roman" w:eastAsia="宋体" w:cs="Times New Roman"/>
                <w:bCs/>
                <w:color w:val="auto"/>
                <w:kern w:val="0"/>
                <w:sz w:val="24"/>
                <w:highlight w:val="none"/>
                <w:lang w:val="en-US" w:eastAsia="zh-CN"/>
              </w:rPr>
              <w:t>及</w:t>
            </w:r>
            <w:r>
              <w:rPr>
                <w:rFonts w:hint="default" w:ascii="Times New Roman" w:hAnsi="Times New Roman" w:eastAsia="宋体" w:cs="Times New Roman"/>
                <w:bCs/>
                <w:color w:val="auto"/>
                <w:kern w:val="0"/>
                <w:sz w:val="24"/>
                <w:highlight w:val="none"/>
              </w:rPr>
              <w:t>危险废物等。</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val="0"/>
                <w:color w:val="auto"/>
                <w:kern w:val="0"/>
                <w:sz w:val="24"/>
                <w:highlight w:val="none"/>
                <w:lang w:eastAsia="zh-CN"/>
              </w:rPr>
            </w:pPr>
            <w:r>
              <w:rPr>
                <w:rFonts w:hint="eastAsia" w:ascii="Times New Roman" w:hAnsi="Times New Roman" w:eastAsia="宋体" w:cs="Times New Roman"/>
                <w:b/>
                <w:bCs w:val="0"/>
                <w:color w:val="auto"/>
                <w:kern w:val="0"/>
                <w:sz w:val="24"/>
                <w:highlight w:val="none"/>
                <w:lang w:val="en-US" w:eastAsia="zh-CN"/>
              </w:rPr>
              <w:t>（1）</w:t>
            </w:r>
            <w:r>
              <w:rPr>
                <w:rFonts w:hint="default" w:ascii="Times New Roman" w:hAnsi="Times New Roman" w:eastAsia="宋体" w:cs="Times New Roman"/>
                <w:b/>
                <w:bCs w:val="0"/>
                <w:color w:val="auto"/>
                <w:kern w:val="0"/>
                <w:sz w:val="24"/>
                <w:highlight w:val="none"/>
                <w:lang w:eastAsia="zh-CN"/>
              </w:rPr>
              <w:t>生活垃圾</w:t>
            </w:r>
          </w:p>
          <w:p>
            <w:pPr>
              <w:pStyle w:val="72"/>
              <w:keepNext w:val="0"/>
              <w:keepLines w:val="0"/>
              <w:pageBreakBefore w:val="0"/>
              <w:widowControl w:val="0"/>
              <w:kinsoku/>
              <w:wordWrap/>
              <w:overflowPunct/>
              <w:topLinePunct w:val="0"/>
              <w:autoSpaceDE/>
              <w:autoSpaceDN/>
              <w:bidi w:val="0"/>
              <w:adjustRightInd/>
              <w:snapToGrid/>
              <w:spacing w:line="360" w:lineRule="auto"/>
              <w:ind w:leftChars="0" w:firstLine="480"/>
              <w:textAlignment w:val="auto"/>
              <w:rPr>
                <w:rFonts w:hint="eastAsia"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bCs/>
                <w:color w:val="auto"/>
                <w:kern w:val="0"/>
                <w:sz w:val="24"/>
                <w:highlight w:val="none"/>
              </w:rPr>
              <w:t>生活垃圾来源于职工日常生活，项目定劳动定员为</w:t>
            </w:r>
            <w:r>
              <w:rPr>
                <w:rFonts w:hint="eastAsia" w:ascii="Times New Roman" w:hAnsi="Times New Roman" w:eastAsia="宋体" w:cs="Times New Roman"/>
                <w:bCs/>
                <w:color w:val="auto"/>
                <w:kern w:val="0"/>
                <w:sz w:val="24"/>
                <w:highlight w:val="none"/>
                <w:lang w:val="en-US" w:eastAsia="zh-CN"/>
              </w:rPr>
              <w:t>10</w:t>
            </w:r>
            <w:r>
              <w:rPr>
                <w:rFonts w:hint="default" w:ascii="Times New Roman" w:hAnsi="Times New Roman" w:eastAsia="宋体" w:cs="Times New Roman"/>
                <w:bCs/>
                <w:color w:val="auto"/>
                <w:kern w:val="0"/>
                <w:sz w:val="24"/>
                <w:highlight w:val="none"/>
              </w:rPr>
              <w:t>人</w:t>
            </w:r>
            <w:r>
              <w:rPr>
                <w:rFonts w:hint="default" w:ascii="Times New Roman" w:hAnsi="Times New Roman" w:eastAsia="宋体" w:cs="Times New Roman"/>
                <w:bCs/>
                <w:color w:val="auto"/>
                <w:kern w:val="0"/>
                <w:sz w:val="24"/>
                <w:highlight w:val="none"/>
                <w:lang w:val="en-US" w:eastAsia="zh-CN"/>
              </w:rPr>
              <w:t>，</w:t>
            </w:r>
            <w:r>
              <w:rPr>
                <w:rFonts w:hint="default" w:ascii="Times New Roman" w:hAnsi="Times New Roman" w:eastAsia="宋体" w:cs="Times New Roman"/>
                <w:bCs/>
                <w:color w:val="auto"/>
                <w:kern w:val="0"/>
                <w:sz w:val="24"/>
                <w:highlight w:val="none"/>
              </w:rPr>
              <w:t>生活垃圾产生量按</w:t>
            </w:r>
            <w:r>
              <w:rPr>
                <w:rFonts w:hint="default" w:ascii="Times New Roman" w:hAnsi="Times New Roman" w:eastAsia="宋体" w:cs="Times New Roman"/>
                <w:bCs/>
                <w:color w:val="auto"/>
                <w:kern w:val="0"/>
                <w:sz w:val="24"/>
                <w:highlight w:val="none"/>
                <w:lang w:val="en-US" w:eastAsia="zh-CN"/>
              </w:rPr>
              <w:t>0.5</w:t>
            </w:r>
            <w:r>
              <w:rPr>
                <w:rFonts w:hint="default" w:ascii="Times New Roman" w:hAnsi="Times New Roman" w:eastAsia="宋体" w:cs="Times New Roman"/>
                <w:bCs/>
                <w:color w:val="auto"/>
                <w:kern w:val="0"/>
                <w:sz w:val="24"/>
                <w:highlight w:val="none"/>
              </w:rPr>
              <w:t>kg/d计，经计算，</w:t>
            </w:r>
            <w:r>
              <w:rPr>
                <w:rFonts w:hint="default" w:ascii="Times New Roman" w:hAnsi="Times New Roman" w:eastAsia="宋体" w:cs="Times New Roman"/>
                <w:bCs/>
                <w:color w:val="auto"/>
                <w:kern w:val="0"/>
                <w:sz w:val="24"/>
                <w:highlight w:val="none"/>
                <w:lang w:eastAsia="zh-CN"/>
              </w:rPr>
              <w:t>生活垃圾</w:t>
            </w:r>
            <w:r>
              <w:rPr>
                <w:rFonts w:hint="default" w:ascii="Times New Roman" w:hAnsi="Times New Roman" w:eastAsia="宋体" w:cs="Times New Roman"/>
                <w:bCs/>
                <w:color w:val="auto"/>
                <w:kern w:val="0"/>
                <w:sz w:val="24"/>
                <w:highlight w:val="none"/>
              </w:rPr>
              <w:t>产生量为</w:t>
            </w:r>
            <w:r>
              <w:rPr>
                <w:rFonts w:hint="eastAsia" w:ascii="Times New Roman" w:hAnsi="Times New Roman" w:eastAsia="宋体" w:cs="Times New Roman"/>
                <w:bCs/>
                <w:color w:val="auto"/>
                <w:kern w:val="0"/>
                <w:sz w:val="24"/>
                <w:highlight w:val="none"/>
                <w:lang w:val="en-US" w:eastAsia="zh-CN"/>
              </w:rPr>
              <w:t>5</w:t>
            </w:r>
            <w:r>
              <w:rPr>
                <w:rFonts w:hint="default" w:ascii="Times New Roman" w:hAnsi="Times New Roman" w:eastAsia="宋体" w:cs="Times New Roman"/>
                <w:bCs/>
                <w:color w:val="auto"/>
                <w:kern w:val="0"/>
                <w:sz w:val="24"/>
                <w:highlight w:val="none"/>
              </w:rPr>
              <w:t>kg/d，</w:t>
            </w:r>
            <w:r>
              <w:rPr>
                <w:rFonts w:hint="default" w:ascii="Times New Roman" w:hAnsi="Times New Roman" w:eastAsia="宋体" w:cs="Times New Roman"/>
                <w:bCs/>
                <w:color w:val="auto"/>
                <w:kern w:val="0"/>
                <w:sz w:val="24"/>
                <w:highlight w:val="none"/>
                <w:lang w:val="en-US" w:eastAsia="zh-CN"/>
              </w:rPr>
              <w:t>1.</w:t>
            </w:r>
            <w:r>
              <w:rPr>
                <w:rFonts w:hint="eastAsia" w:ascii="Times New Roman" w:hAnsi="Times New Roman" w:eastAsia="宋体" w:cs="Times New Roman"/>
                <w:bCs/>
                <w:color w:val="auto"/>
                <w:kern w:val="0"/>
                <w:sz w:val="24"/>
                <w:highlight w:val="none"/>
                <w:lang w:val="en-US" w:eastAsia="zh-CN"/>
              </w:rPr>
              <w:t>5</w:t>
            </w:r>
            <w:r>
              <w:rPr>
                <w:rFonts w:hint="default" w:ascii="Times New Roman" w:hAnsi="Times New Roman" w:eastAsia="宋体" w:cs="Times New Roman"/>
                <w:bCs/>
                <w:color w:val="auto"/>
                <w:kern w:val="0"/>
                <w:sz w:val="24"/>
                <w:highlight w:val="none"/>
              </w:rPr>
              <w:t>t/a。生活垃圾集中分类收集后</w:t>
            </w:r>
            <w:r>
              <w:rPr>
                <w:rFonts w:hint="default" w:ascii="Times New Roman" w:hAnsi="Times New Roman" w:eastAsia="宋体" w:cs="Times New Roman"/>
                <w:bCs/>
                <w:color w:val="auto"/>
                <w:kern w:val="0"/>
                <w:sz w:val="24"/>
                <w:highlight w:val="none"/>
                <w:lang w:eastAsia="zh-CN"/>
              </w:rPr>
              <w:t>环卫部门清运处置</w:t>
            </w:r>
            <w:r>
              <w:rPr>
                <w:rFonts w:hint="default" w:ascii="Times New Roman" w:hAnsi="Times New Roman" w:eastAsia="宋体" w:cs="Times New Roman"/>
                <w:bCs/>
                <w:color w:val="auto"/>
                <w:kern w:val="0"/>
                <w:sz w:val="24"/>
                <w:highlight w:val="none"/>
              </w:rPr>
              <w:t>。</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b/>
                <w:bCs w:val="0"/>
                <w:color w:val="auto"/>
                <w:kern w:val="0"/>
                <w:sz w:val="24"/>
                <w:highlight w:val="none"/>
                <w:lang w:val="en-US" w:eastAsia="zh-CN"/>
              </w:rPr>
            </w:pPr>
            <w:r>
              <w:rPr>
                <w:rFonts w:hint="eastAsia" w:ascii="Times New Roman" w:hAnsi="Times New Roman" w:eastAsia="宋体" w:cs="Times New Roman"/>
                <w:b/>
                <w:bCs w:val="0"/>
                <w:color w:val="auto"/>
                <w:kern w:val="0"/>
                <w:sz w:val="24"/>
                <w:highlight w:val="none"/>
                <w:lang w:val="en-US" w:eastAsia="zh-CN"/>
              </w:rPr>
              <w:t>（2）一般固废</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eastAsia="zh-CN"/>
              </w:rPr>
              <w:t>①</w:t>
            </w:r>
            <w:r>
              <w:rPr>
                <w:rFonts w:hint="eastAsia" w:ascii="Times New Roman" w:hAnsi="Times New Roman" w:eastAsia="宋体" w:cs="Times New Roman"/>
                <w:b/>
                <w:bCs w:val="0"/>
                <w:color w:val="auto"/>
                <w:kern w:val="0"/>
                <w:sz w:val="24"/>
                <w:highlight w:val="none"/>
                <w:lang w:val="en-US" w:eastAsia="zh-CN"/>
              </w:rPr>
              <w:t>废泥土量</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废泥土产生量为</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10000</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t/a,暂存于废土堆场，定期运至弃土场。项目原料来源于</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狮头山隧道</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洞渣，</w:t>
            </w:r>
            <w:r>
              <w:rPr>
                <w:rFonts w:hint="default" w:ascii="Times New Roman" w:hAnsi="Times New Roman" w:cs="Times New Roman"/>
                <w:color w:val="000000" w:themeColor="text1"/>
                <w:sz w:val="24"/>
                <w:szCs w:val="24"/>
                <w14:textFill>
                  <w14:solidFill>
                    <w14:schemeClr w14:val="tx1"/>
                  </w14:solidFill>
                </w14:textFill>
              </w:rPr>
              <w:t>根据云南省生态环境厅公示的《云龙至永平高速公路环境影响报告书》，</w:t>
            </w:r>
            <w:r>
              <w:rPr>
                <w:rFonts w:hint="default" w:ascii="Times New Roman" w:hAnsi="Times New Roman" w:cs="Times New Roman"/>
                <w:color w:val="000000" w:themeColor="text1"/>
                <w:sz w:val="24"/>
                <w:szCs w:val="24"/>
                <w:lang w:val="en-US" w:eastAsia="zh-CN"/>
                <w14:textFill>
                  <w14:solidFill>
                    <w14:schemeClr w14:val="tx1"/>
                  </w14:solidFill>
                </w14:textFill>
              </w:rPr>
              <w:t>项目涉及</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隧道为</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狮头山</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隧道，该隧道配套弃渣场是Q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2和</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主要弃方去向为</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Q</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渣场</w:t>
            </w:r>
            <w:r>
              <w:rPr>
                <w:rFonts w:hint="eastAsia" w:ascii="Times New Roman" w:hAnsi="Times New Roman" w:cs="Times New Roman"/>
                <w:color w:val="000000" w:themeColor="text1"/>
                <w:kern w:val="0"/>
                <w:sz w:val="24"/>
                <w:szCs w:val="24"/>
                <w:shd w:val="clear" w:color="auto" w:fill="FFFFFF"/>
                <w:lang w:eastAsia="zh-CN" w:bidi="ar"/>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渣场位于</w:t>
            </w:r>
            <w:r>
              <w:rPr>
                <w:rFonts w:hint="eastAsia" w:ascii="Times New Roman" w:hAnsi="Times New Roman" w:eastAsia="宋体" w:cs="Times New Roman"/>
                <w:b w:val="0"/>
                <w:bCs/>
                <w:color w:val="000000" w:themeColor="text1"/>
                <w:kern w:val="0"/>
                <w:sz w:val="24"/>
                <w:highlight w:val="none"/>
                <w:lang w:val="en-US" w:eastAsia="zh-CN"/>
                <w14:textFill>
                  <w14:solidFill>
                    <w14:schemeClr w14:val="tx1"/>
                  </w14:solidFill>
                </w14:textFill>
              </w:rPr>
              <w:t>L1K3+300（项目西北侧）</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，占地面积为</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3.71</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eastAsia" w:ascii="Times New Roman" w:hAnsi="Times New Roman" w:cs="Times New Roman"/>
                <w:color w:val="000000" w:themeColor="text1"/>
                <w:kern w:val="0"/>
                <w:sz w:val="24"/>
                <w:szCs w:val="24"/>
                <w:shd w:val="clear" w:color="auto" w:fill="FFFFFF"/>
                <w:lang w:eastAsia="zh-CN"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其中草地</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0.73</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，林地</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2.87</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、其他土地</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11</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hm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eastAsia" w:ascii="Times New Roman" w:hAnsi="Times New Roman" w:cs="Times New Roman"/>
                <w:color w:val="000000" w:themeColor="text1"/>
                <w:kern w:val="0"/>
                <w:sz w:val="24"/>
                <w:szCs w:val="24"/>
                <w:shd w:val="clear" w:color="auto" w:fill="FFFFFF"/>
                <w:lang w:eastAsia="zh-CN"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，堆渣高程</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19</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22</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4</w:t>
            </w:r>
            <w:r>
              <w:rPr>
                <w:rFonts w:hint="default"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0</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m，最大堆高</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5</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0m，设计容量</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58.5</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万</w:t>
            </w:r>
            <w:r>
              <w:rPr>
                <w:rFonts w:hint="default" w:ascii="Times New Roman" w:hAnsi="Times New Roman" w:eastAsia="Segoe UI Symbol" w:cs="Times New Roman"/>
                <w:color w:val="000000" w:themeColor="text1"/>
                <w:kern w:val="0"/>
                <w:sz w:val="24"/>
                <w:szCs w:val="24"/>
                <w:shd w:val="clear" w:color="auto" w:fill="FFFFFF"/>
                <w:lang w:bidi="ar"/>
                <w14:textFill>
                  <w14:solidFill>
                    <w14:schemeClr w14:val="tx1"/>
                  </w14:solidFill>
                </w14:textFill>
              </w:rPr>
              <w:t>㎥</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，汇水面积</w:t>
            </w:r>
            <w:r>
              <w:rPr>
                <w:rFonts w:hint="eastAsia" w:ascii="Times New Roman" w:hAnsi="Times New Roman" w:cs="Times New Roman"/>
                <w:color w:val="000000" w:themeColor="text1"/>
                <w:kern w:val="0"/>
                <w:sz w:val="24"/>
                <w:szCs w:val="24"/>
                <w:shd w:val="clear" w:color="auto" w:fill="FFFFFF"/>
                <w:lang w:val="en-US" w:eastAsia="zh-CN" w:bidi="ar"/>
                <w14:textFill>
                  <w14:solidFill>
                    <w14:schemeClr w14:val="tx1"/>
                  </w14:solidFill>
                </w14:textFill>
              </w:rPr>
              <w:t>2.25</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km</w:t>
            </w:r>
            <w:r>
              <w:rPr>
                <w:rFonts w:hint="default" w:ascii="Times New Roman" w:hAnsi="Times New Roman" w:cs="Times New Roman"/>
                <w:color w:val="000000" w:themeColor="text1"/>
                <w:kern w:val="0"/>
                <w:sz w:val="24"/>
                <w:szCs w:val="24"/>
                <w:shd w:val="clear" w:color="auto" w:fill="FFFFFF"/>
                <w:vertAlign w:val="superscript"/>
                <w:lang w:bidi="ar"/>
                <w14:textFill>
                  <w14:solidFill>
                    <w14:schemeClr w14:val="tx1"/>
                  </w14:solidFill>
                </w14:textFill>
              </w:rPr>
              <w:t>2</w:t>
            </w:r>
            <w:r>
              <w:rPr>
                <w:rFonts w:hint="default" w:ascii="Times New Roman" w:hAnsi="Times New Roman" w:cs="Times New Roman"/>
                <w:color w:val="000000" w:themeColor="text1"/>
                <w:kern w:val="0"/>
                <w:sz w:val="24"/>
                <w:szCs w:val="24"/>
                <w:shd w:val="clear" w:color="auto" w:fill="FFFFFF"/>
                <w:lang w:bidi="ar"/>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弃渣场设计容积为</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58.5</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万m</w:t>
            </w:r>
            <w:r>
              <w:rPr>
                <w:rFonts w:hint="default" w:ascii="Times New Roman" w:hAnsi="Times New Roman" w:eastAsia="宋体" w:cs="Times New Roman"/>
                <w:b w:val="0"/>
                <w:bCs/>
                <w:color w:val="000000" w:themeColor="text1"/>
                <w:ker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kern w:val="0"/>
                <w:sz w:val="24"/>
                <w:szCs w:val="24"/>
                <w:highlight w:val="none"/>
                <w:vertAlign w:val="baseline"/>
                <w:lang w:val="en-US" w:eastAsia="zh-CN"/>
                <w14:textFill>
                  <w14:solidFill>
                    <w14:schemeClr w14:val="tx1"/>
                  </w14:solidFill>
                </w14:textFill>
              </w:rPr>
              <w:t>，设计容纳弃方量为</w:t>
            </w:r>
            <w:r>
              <w:rPr>
                <w:rFonts w:hint="eastAsia" w:ascii="Times New Roman" w:hAnsi="Times New Roman" w:eastAsia="宋体" w:cs="Times New Roman"/>
                <w:b w:val="0"/>
                <w:bCs/>
                <w:color w:val="000000" w:themeColor="text1"/>
                <w:kern w:val="0"/>
                <w:sz w:val="24"/>
                <w:szCs w:val="24"/>
                <w:highlight w:val="none"/>
                <w:vertAlign w:val="baseline"/>
                <w:lang w:val="en-US" w:eastAsia="zh-CN"/>
                <w14:textFill>
                  <w14:solidFill>
                    <w14:schemeClr w14:val="tx1"/>
                  </w14:solidFill>
                </w14:textFill>
              </w:rPr>
              <w:t>51.16</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万m</w:t>
            </w:r>
            <w:r>
              <w:rPr>
                <w:rFonts w:hint="default" w:ascii="Times New Roman" w:hAnsi="Times New Roman" w:eastAsia="宋体" w:cs="Times New Roman"/>
                <w:b w:val="0"/>
                <w:bCs/>
                <w:color w:val="000000" w:themeColor="text1"/>
                <w:ker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kern w:val="0"/>
                <w:sz w:val="24"/>
                <w:szCs w:val="24"/>
                <w:highlight w:val="none"/>
                <w:vertAlign w:val="baseline"/>
                <w:lang w:val="en-US" w:eastAsia="zh-CN"/>
                <w14:textFill>
                  <w14:solidFill>
                    <w14:schemeClr w14:val="tx1"/>
                  </w14:solidFill>
                </w14:textFill>
              </w:rPr>
              <w:t>，本项目使用的原料为该渣场的弃方，产生的废土运输至</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Q</w:t>
            </w:r>
            <w:r>
              <w:rPr>
                <w:rFonts w:hint="eastAsia"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kern w:val="0"/>
                <w:sz w:val="24"/>
                <w:szCs w:val="24"/>
                <w:highlight w:val="none"/>
                <w:lang w:val="en-US" w:eastAsia="zh-CN"/>
                <w14:textFill>
                  <w14:solidFill>
                    <w14:schemeClr w14:val="tx1"/>
                  </w14:solidFill>
                </w14:textFill>
              </w:rPr>
              <w:t>弃渣场，不会增加新的弃土量，弃渣场能够容纳废土。</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②</w:t>
            </w:r>
            <w:r>
              <w:rPr>
                <w:rFonts w:hint="eastAsia" w:ascii="Times New Roman" w:hAnsi="Times New Roman" w:eastAsia="宋体" w:cs="Times New Roman"/>
                <w:b/>
                <w:bCs w:val="0"/>
                <w:color w:val="auto"/>
                <w:kern w:val="0"/>
                <w:sz w:val="24"/>
                <w:highlight w:val="none"/>
                <w:lang w:val="en-US" w:eastAsia="zh-CN"/>
              </w:rPr>
              <w:t>旱厕粪便</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旱厕产生的粪便定期委托周围农户清掏，用作农肥</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Cs/>
                <w:color w:val="auto"/>
                <w:kern w:val="0"/>
                <w:sz w:val="24"/>
                <w:highlight w:val="none"/>
              </w:rPr>
              <w:t>产生量约为0.</w:t>
            </w:r>
            <w:r>
              <w:rPr>
                <w:rFonts w:hint="default" w:ascii="Times New Roman" w:hAnsi="Times New Roman" w:eastAsia="宋体" w:cs="Times New Roman"/>
                <w:bCs/>
                <w:color w:val="auto"/>
                <w:kern w:val="0"/>
                <w:sz w:val="24"/>
                <w:highlight w:val="none"/>
                <w:lang w:val="en-US" w:eastAsia="zh-CN"/>
              </w:rPr>
              <w:t>1</w:t>
            </w:r>
            <w:r>
              <w:rPr>
                <w:rFonts w:hint="default" w:ascii="Times New Roman" w:hAnsi="Times New Roman" w:eastAsia="宋体" w:cs="Times New Roman"/>
                <w:bCs/>
                <w:color w:val="auto"/>
                <w:kern w:val="0"/>
                <w:sz w:val="24"/>
                <w:highlight w:val="none"/>
              </w:rPr>
              <w:t>t/a</w:t>
            </w:r>
            <w:r>
              <w:rPr>
                <w:rFonts w:hint="default" w:ascii="Times New Roman" w:hAnsi="Times New Roman" w:eastAsia="宋体" w:cs="Times New Roman"/>
                <w:bCs/>
                <w:color w:val="auto"/>
                <w:kern w:val="0"/>
                <w:sz w:val="24"/>
                <w:highlight w:val="none"/>
                <w:lang w:eastAsia="zh-CN"/>
              </w:rPr>
              <w:t>。</w:t>
            </w:r>
          </w:p>
          <w:p>
            <w:pPr>
              <w:spacing w:line="360" w:lineRule="auto"/>
              <w:ind w:firstLine="482"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b/>
                <w:bCs w:val="0"/>
                <w:color w:val="auto"/>
                <w:kern w:val="0"/>
                <w:sz w:val="24"/>
                <w:highlight w:val="none"/>
                <w:lang w:val="en-US" w:eastAsia="zh-CN"/>
              </w:rPr>
              <w:t>③沉淀池池渣</w:t>
            </w:r>
          </w:p>
          <w:p>
            <w:pPr>
              <w:spacing w:line="360" w:lineRule="auto"/>
              <w:ind w:firstLine="480" w:firstLineChars="200"/>
              <w:rPr>
                <w:rFonts w:hint="default" w:eastAsia="宋体"/>
                <w:lang w:val="en-US" w:eastAsia="zh-CN"/>
              </w:rPr>
            </w:pPr>
            <w:r>
              <w:rPr>
                <w:rFonts w:hint="eastAsia" w:ascii="Times New Roman" w:hAnsi="Times New Roman" w:eastAsia="宋体" w:cs="Times New Roman"/>
                <w:bCs/>
                <w:color w:val="auto"/>
                <w:kern w:val="0"/>
                <w:sz w:val="24"/>
                <w:highlight w:val="none"/>
                <w:lang w:val="en-US" w:eastAsia="zh-CN"/>
              </w:rPr>
              <w:t>沉淀池池渣产生量约为0.1</w:t>
            </w:r>
            <w:r>
              <w:rPr>
                <w:rFonts w:hint="default" w:ascii="Times New Roman" w:hAnsi="Times New Roman" w:eastAsia="宋体" w:cs="Times New Roman"/>
                <w:bCs/>
                <w:color w:val="auto"/>
                <w:kern w:val="0"/>
                <w:sz w:val="24"/>
                <w:highlight w:val="none"/>
              </w:rPr>
              <w:t>t/a</w:t>
            </w: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经压滤机压滤后并入废土，运至弃渣场，压滤水回用。</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val="0"/>
                <w:color w:val="auto"/>
                <w:kern w:val="0"/>
                <w:sz w:val="24"/>
                <w:highlight w:val="none"/>
              </w:rPr>
            </w:pPr>
            <w:r>
              <w:rPr>
                <w:rFonts w:hint="default" w:ascii="Times New Roman" w:hAnsi="Times New Roman" w:eastAsia="宋体" w:cs="Times New Roman"/>
                <w:b/>
                <w:bCs w:val="0"/>
                <w:color w:val="auto"/>
                <w:kern w:val="0"/>
                <w:sz w:val="24"/>
                <w:highlight w:val="none"/>
                <w:lang w:eastAsia="zh-CN"/>
              </w:rPr>
              <w:t>（</w:t>
            </w:r>
            <w:r>
              <w:rPr>
                <w:rFonts w:hint="eastAsia" w:ascii="Times New Roman" w:hAnsi="Times New Roman" w:eastAsia="宋体" w:cs="Times New Roman"/>
                <w:b/>
                <w:bCs w:val="0"/>
                <w:color w:val="auto"/>
                <w:kern w:val="0"/>
                <w:sz w:val="24"/>
                <w:highlight w:val="none"/>
                <w:lang w:val="en-US" w:eastAsia="zh-CN"/>
              </w:rPr>
              <w:t>3</w:t>
            </w:r>
            <w:r>
              <w:rPr>
                <w:rFonts w:hint="default" w:ascii="Times New Roman" w:hAnsi="Times New Roman" w:eastAsia="宋体" w:cs="Times New Roman"/>
                <w:b/>
                <w:bCs w:val="0"/>
                <w:color w:val="auto"/>
                <w:kern w:val="0"/>
                <w:sz w:val="24"/>
                <w:highlight w:val="none"/>
                <w:lang w:eastAsia="zh-CN"/>
              </w:rPr>
              <w:t>）</w:t>
            </w:r>
            <w:r>
              <w:rPr>
                <w:rFonts w:hint="default" w:ascii="Times New Roman" w:hAnsi="Times New Roman" w:eastAsia="宋体" w:cs="Times New Roman"/>
                <w:b/>
                <w:bCs w:val="0"/>
                <w:color w:val="auto"/>
                <w:kern w:val="0"/>
                <w:sz w:val="24"/>
                <w:highlight w:val="none"/>
              </w:rPr>
              <w:t>危险废物</w:t>
            </w:r>
          </w:p>
          <w:p>
            <w:pPr>
              <w:pStyle w:val="7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highlight w:val="none"/>
                <w:lang w:eastAsia="zh-CN"/>
              </w:rPr>
              <w:t>①</w:t>
            </w:r>
            <w:r>
              <w:rPr>
                <w:rFonts w:hint="eastAsia" w:ascii="Times New Roman" w:hAnsi="Times New Roman" w:eastAsia="宋体" w:cs="Times New Roman"/>
                <w:b/>
                <w:bCs w:val="0"/>
                <w:color w:val="auto"/>
                <w:sz w:val="24"/>
                <w:szCs w:val="24"/>
                <w:highlight w:val="none"/>
                <w:lang w:eastAsia="zh-CN"/>
              </w:rPr>
              <w:t>废机油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运行期对</w:t>
            </w:r>
            <w:r>
              <w:rPr>
                <w:rFonts w:hint="default" w:ascii="Times New Roman" w:hAnsi="Times New Roman" w:eastAsia="宋体" w:cs="Times New Roman"/>
                <w:color w:val="auto"/>
                <w:sz w:val="24"/>
                <w:szCs w:val="24"/>
                <w:highlight w:val="none"/>
              </w:rPr>
              <w:t>生产设备进行检修及维护保养</w:t>
            </w:r>
            <w:r>
              <w:rPr>
                <w:rFonts w:hint="default" w:ascii="Times New Roman" w:hAnsi="Times New Roman" w:eastAsia="宋体" w:cs="Times New Roman"/>
                <w:color w:val="auto"/>
                <w:sz w:val="24"/>
                <w:szCs w:val="24"/>
                <w:highlight w:val="none"/>
                <w:lang w:eastAsia="zh-CN"/>
              </w:rPr>
              <w:t>会产生</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产生量约0.0</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t/a。根据《国家危险废物名录》（2021版），</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属于危险废物，废物类别为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HW08废矿物油与含矿物油废物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，废物代码为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900-214-08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（车辆、轮船及其它机械维修过程中产生的废发动机油、制动器油、自动变速器油、齿轮油等</w:t>
            </w:r>
            <w:r>
              <w:rPr>
                <w:rFonts w:hint="eastAsia" w:ascii="Times New Roman" w:hAnsi="Times New Roman" w:eastAsia="宋体" w:cs="Times New Roman"/>
                <w:color w:val="auto"/>
                <w:sz w:val="24"/>
                <w:szCs w:val="24"/>
                <w:highlight w:val="none"/>
                <w:lang w:eastAsia="zh-CN"/>
              </w:rPr>
              <w:t>废</w:t>
            </w:r>
            <w:r>
              <w:rPr>
                <w:rFonts w:hint="eastAsia" w:ascii="Times New Roman" w:hAnsi="Times New Roman" w:eastAsia="宋体" w:cs="Times New Roman"/>
                <w:color w:val="auto"/>
                <w:sz w:val="24"/>
                <w:szCs w:val="24"/>
                <w:highlight w:val="none"/>
                <w:lang w:val="en-US" w:eastAsia="zh-CN"/>
              </w:rPr>
              <w:t>润滑</w:t>
            </w:r>
            <w:r>
              <w:rPr>
                <w:rFonts w:hint="eastAsia" w:ascii="Times New Roman" w:hAnsi="Times New Roman" w:eastAsia="宋体" w:cs="Times New Roman"/>
                <w:color w:val="auto"/>
                <w:sz w:val="24"/>
                <w:szCs w:val="24"/>
                <w:highlight w:val="none"/>
                <w:lang w:eastAsia="zh-CN"/>
              </w:rPr>
              <w:t>油</w:t>
            </w:r>
            <w:r>
              <w:rPr>
                <w:rFonts w:hint="default" w:ascii="Times New Roman" w:hAnsi="Times New Roman" w:eastAsia="宋体" w:cs="Times New Roman"/>
                <w:color w:val="auto"/>
                <w:sz w:val="24"/>
                <w:szCs w:val="24"/>
                <w:highlight w:val="none"/>
              </w:rPr>
              <w:t>），项目产生的</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收集后分区暂存于危险废物暂存间，委托有资质单位处置。</w:t>
            </w:r>
          </w:p>
          <w:p>
            <w:pPr>
              <w:pStyle w:val="72"/>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②</w:t>
            </w:r>
            <w:r>
              <w:rPr>
                <w:rFonts w:hint="eastAsia" w:ascii="Times New Roman" w:hAnsi="Times New Roman" w:eastAsia="宋体" w:cs="Times New Roman"/>
                <w:b/>
                <w:bCs/>
                <w:color w:val="auto"/>
                <w:sz w:val="24"/>
                <w:szCs w:val="24"/>
                <w:highlight w:val="none"/>
                <w:lang w:eastAsia="zh-CN"/>
              </w:rPr>
              <w:t>废机油</w:t>
            </w:r>
            <w:r>
              <w:rPr>
                <w:rFonts w:hint="default" w:ascii="Times New Roman" w:hAnsi="Times New Roman" w:eastAsia="宋体" w:cs="Times New Roman"/>
                <w:b/>
                <w:bCs/>
                <w:color w:val="auto"/>
                <w:sz w:val="24"/>
                <w:szCs w:val="24"/>
                <w:highlight w:val="none"/>
                <w:lang w:eastAsia="zh-CN"/>
              </w:rPr>
              <w:t>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由于项目生产过程中涉及润滑油的使用，会产生一定量的</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桶，产生量为0.0</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t/a，根据《国家危险废物名录》（2021版），</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桶属于危险废物，废物类别为废物类别为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HW08废矿物油与含矿物油废物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，废物代码为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900-249-08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（其他生产、销售、使用过程中产生的废矿物油及沾染矿物油的废弃包装物），</w:t>
            </w:r>
            <w:r>
              <w:rPr>
                <w:rFonts w:hint="eastAsia"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桶收集后分区暂存于危险废物暂存间，委托有资质单位处置。</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highlight w:val="none"/>
              </w:rPr>
              <w:t>危险废物暂存间设计及施工要求</w:t>
            </w:r>
            <w:r>
              <w:rPr>
                <w:rFonts w:hint="default" w:ascii="Times New Roman" w:hAnsi="Times New Roman" w:eastAsia="宋体" w:cs="Times New Roman"/>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根据《危险废物贮存污染控制标准》（GB18597-20</w:t>
            </w:r>
            <w:r>
              <w:rPr>
                <w:rFonts w:hint="default" w:ascii="Times New Roman" w:hAnsi="Times New Roman" w:eastAsia="宋体" w:cs="Times New Roman"/>
                <w:color w:val="auto"/>
                <w:sz w:val="24"/>
                <w:highlight w:val="none"/>
                <w:lang w:val="en-US" w:eastAsia="zh-CN"/>
              </w:rPr>
              <w:t>23</w:t>
            </w:r>
            <w:r>
              <w:rPr>
                <w:rFonts w:hint="default" w:ascii="Times New Roman" w:hAnsi="Times New Roman" w:eastAsia="宋体" w:cs="Times New Roman"/>
                <w:color w:val="auto"/>
                <w:sz w:val="24"/>
                <w:highlight w:val="none"/>
              </w:rPr>
              <w:t>）的要求，危废暂存间的设置要求如下：</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（1）应建有堵截泄漏的裙脚，地面与裙脚要用坚固防渗的材料建造。应有隔离设施、报警装置和防风、防晒、防雨设施；</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（2）并采用混凝土硬化护面，防渗层为至少1m厚黏土层（渗透系数≤10</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en-US" w:eastAsia="zh-CN"/>
              </w:rPr>
              <w:t>cm/s），或2mm厚高密度聚乙烯，或至少2mm厚的其他人工材料，渗透系数≤10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（3）须有泄漏液体收集装置及气体导出口和气体净化装置；</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（4）用于存放液体、半固体危险废物的地方，还须有耐腐蚀的硬化地面，地面无裂隙；</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（5）不相容的危险废物堆放区必须有隔离间隔断，本项目危废必须在危废暂存间内分区块堆存，禁止混堆；</w:t>
            </w:r>
          </w:p>
          <w:p>
            <w:pPr>
              <w:pStyle w:val="7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（6）衬层上需建有渗滤液收集清除系统、径流疏导系统、雨水收集池。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0"/>
                <w:sz w:val="24"/>
                <w:szCs w:val="32"/>
                <w:highlight w:val="none"/>
                <w:lang w:eastAsia="zh-CN"/>
              </w:rPr>
            </w:pPr>
            <w:r>
              <w:rPr>
                <w:rFonts w:hint="default" w:ascii="Times New Roman" w:hAnsi="Times New Roman" w:eastAsia="宋体" w:cs="Times New Roman"/>
                <w:b/>
                <w:bCs/>
                <w:color w:val="auto"/>
                <w:kern w:val="0"/>
                <w:sz w:val="24"/>
                <w:szCs w:val="32"/>
                <w:highlight w:val="none"/>
                <w:lang w:eastAsia="zh-CN"/>
              </w:rPr>
              <w:t>五、地下水、土壤</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1、地下水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（1）污染源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lang w:eastAsia="zh-CN"/>
              </w:rPr>
              <w:t>项目地下水污染源为</w:t>
            </w:r>
            <w:r>
              <w:rPr>
                <w:rFonts w:hint="default" w:ascii="Times New Roman" w:hAnsi="Times New Roman" w:eastAsia="宋体" w:cs="Times New Roman"/>
                <w:bCs/>
                <w:color w:val="auto"/>
                <w:kern w:val="0"/>
                <w:sz w:val="24"/>
                <w:highlight w:val="none"/>
                <w:lang w:val="en-US" w:eastAsia="zh-CN"/>
              </w:rPr>
              <w:t>危废暂存间。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（2）污染物类型</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危险废物暂存间污染因子主要为</w:t>
            </w:r>
            <w:r>
              <w:rPr>
                <w:rFonts w:hint="default" w:ascii="Times New Roman" w:hAnsi="Times New Roman" w:eastAsia="宋体" w:cs="Times New Roman"/>
                <w:bCs/>
                <w:color w:val="auto"/>
                <w:kern w:val="0"/>
                <w:sz w:val="24"/>
                <w:highlight w:val="none"/>
                <w:lang w:val="en-US" w:eastAsia="zh-CN"/>
              </w:rPr>
              <w:t>石油类</w:t>
            </w:r>
            <w:r>
              <w:rPr>
                <w:rFonts w:hint="default" w:ascii="Times New Roman" w:hAnsi="Times New Roman" w:eastAsia="宋体" w:cs="Times New Roman"/>
                <w:bCs/>
                <w:color w:val="auto"/>
                <w:kern w:val="0"/>
                <w:sz w:val="24"/>
                <w:highlight w:val="none"/>
                <w:lang w:eastAsia="zh-CN"/>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（3）污染途径</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val="zh-CN" w:eastAsia="zh-CN"/>
              </w:rPr>
            </w:pPr>
            <w:r>
              <w:rPr>
                <w:rFonts w:hint="default" w:ascii="Times New Roman" w:hAnsi="Times New Roman" w:eastAsia="宋体" w:cs="Times New Roman"/>
                <w:bCs/>
                <w:color w:val="auto"/>
                <w:kern w:val="0"/>
                <w:sz w:val="24"/>
                <w:highlight w:val="none"/>
                <w:lang w:eastAsia="zh-CN"/>
              </w:rPr>
              <w:t>污染物从污染源进入地下水所经过的路径称为地下水污染途径，地下水污染途径是多种多样的。本项目对地下水环境可能产生影响的环节</w:t>
            </w:r>
            <w:r>
              <w:rPr>
                <w:rFonts w:hint="default" w:ascii="Times New Roman" w:hAnsi="Times New Roman" w:eastAsia="宋体" w:cs="Times New Roman"/>
                <w:bCs/>
                <w:color w:val="auto"/>
                <w:kern w:val="0"/>
                <w:sz w:val="24"/>
                <w:highlight w:val="none"/>
                <w:lang w:val="zh-CN" w:eastAsia="zh-CN"/>
              </w:rPr>
              <w:t>主要有：</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①危险废物暂存间地面防渗破损，</w:t>
            </w:r>
            <w:r>
              <w:rPr>
                <w:rFonts w:hint="eastAsia" w:ascii="Times New Roman" w:hAnsi="Times New Roman" w:eastAsia="宋体" w:cs="Times New Roman"/>
                <w:bCs/>
                <w:color w:val="auto"/>
                <w:kern w:val="0"/>
                <w:sz w:val="24"/>
                <w:highlight w:val="none"/>
                <w:lang w:eastAsia="zh-CN"/>
              </w:rPr>
              <w:t>废机油</w:t>
            </w:r>
            <w:r>
              <w:rPr>
                <w:rFonts w:hint="default" w:ascii="Times New Roman" w:hAnsi="Times New Roman" w:eastAsia="宋体" w:cs="Times New Roman"/>
                <w:bCs/>
                <w:color w:val="auto"/>
                <w:kern w:val="0"/>
                <w:sz w:val="24"/>
                <w:highlight w:val="none"/>
                <w:lang w:eastAsia="zh-CN"/>
              </w:rPr>
              <w:t>泄漏，渗透污染地下水。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（4）分区防控措施</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rPr>
              <w:t>但为了进</w:t>
            </w:r>
            <w:r>
              <w:rPr>
                <w:rFonts w:hint="default" w:ascii="Times New Roman" w:hAnsi="Times New Roman" w:eastAsia="宋体" w:cs="Times New Roman"/>
                <w:bCs/>
                <w:color w:val="auto"/>
                <w:kern w:val="0"/>
                <w:sz w:val="24"/>
                <w:highlight w:val="none"/>
                <w:lang w:eastAsia="zh-CN"/>
              </w:rPr>
              <w:t>一</w:t>
            </w:r>
            <w:r>
              <w:rPr>
                <w:rFonts w:hint="default" w:ascii="Times New Roman" w:hAnsi="Times New Roman" w:eastAsia="宋体" w:cs="Times New Roman"/>
                <w:bCs/>
                <w:color w:val="auto"/>
                <w:kern w:val="0"/>
                <w:sz w:val="24"/>
                <w:highlight w:val="none"/>
              </w:rPr>
              <w:t>步缓解项目废水对周围地下水环境的影响</w:t>
            </w:r>
            <w:r>
              <w:rPr>
                <w:rFonts w:hint="default" w:ascii="Times New Roman" w:hAnsi="Times New Roman" w:eastAsia="宋体" w:cs="Times New Roman"/>
                <w:bCs/>
                <w:color w:val="auto"/>
                <w:kern w:val="0"/>
                <w:sz w:val="24"/>
                <w:highlight w:val="none"/>
                <w:lang w:eastAsia="zh-CN"/>
              </w:rPr>
              <w:t>，</w:t>
            </w:r>
            <w:r>
              <w:rPr>
                <w:rFonts w:hint="default" w:ascii="Times New Roman" w:hAnsi="Times New Roman" w:eastAsia="宋体" w:cs="Times New Roman"/>
                <w:bCs/>
                <w:color w:val="auto"/>
                <w:kern w:val="0"/>
                <w:sz w:val="24"/>
                <w:highlight w:val="none"/>
              </w:rPr>
              <w:t>环评要求</w:t>
            </w:r>
            <w:r>
              <w:rPr>
                <w:rFonts w:hint="default" w:ascii="Times New Roman" w:hAnsi="Times New Roman" w:eastAsia="宋体" w:cs="Times New Roman"/>
                <w:bCs/>
                <w:color w:val="auto"/>
                <w:kern w:val="0"/>
                <w:sz w:val="24"/>
                <w:highlight w:val="none"/>
                <w:lang w:eastAsia="zh-CN"/>
              </w:rPr>
              <w:t>按下述要求实行分区防渗要求：</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表4-1</w:t>
            </w: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rPr>
              <w:t>项目分区防渗一览表</w:t>
            </w:r>
          </w:p>
          <w:tbl>
            <w:tblPr>
              <w:tblStyle w:val="26"/>
              <w:tblW w:w="8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98"/>
              <w:gridCol w:w="837"/>
              <w:gridCol w:w="5442"/>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73"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98"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建设内容</w:t>
                  </w:r>
                </w:p>
              </w:tc>
              <w:tc>
                <w:tcPr>
                  <w:tcW w:w="837"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防渗级别</w:t>
                  </w:r>
                </w:p>
              </w:tc>
              <w:tc>
                <w:tcPr>
                  <w:tcW w:w="5442" w:type="dxa"/>
                  <w:noWrap w:val="0"/>
                  <w:vAlign w:val="center"/>
                </w:tcPr>
                <w:p>
                  <w:pPr>
                    <w:pStyle w:val="1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防渗要求</w:t>
                  </w:r>
                </w:p>
              </w:tc>
              <w:tc>
                <w:tcPr>
                  <w:tcW w:w="451" w:type="dxa"/>
                  <w:noWrap w:val="0"/>
                  <w:vAlign w:val="center"/>
                </w:tcPr>
                <w:p>
                  <w:pPr>
                    <w:pStyle w:val="11"/>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3" w:type="dxa"/>
                  <w:noWrap w:val="0"/>
                  <w:vAlign w:val="center"/>
                </w:tcPr>
                <w:p>
                  <w:pPr>
                    <w:pStyle w:val="11"/>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p>
              </w:tc>
              <w:tc>
                <w:tcPr>
                  <w:tcW w:w="1398" w:type="dxa"/>
                  <w:noWrap w:val="0"/>
                  <w:vAlign w:val="center"/>
                </w:tcPr>
                <w:p>
                  <w:pPr>
                    <w:pStyle w:val="11"/>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初期雨水收集池、生活污水收集池、沉淀池</w:t>
                  </w:r>
                </w:p>
              </w:tc>
              <w:tc>
                <w:tcPr>
                  <w:tcW w:w="837" w:type="dxa"/>
                  <w:noWrap w:val="0"/>
                  <w:vAlign w:val="center"/>
                </w:tcPr>
                <w:p>
                  <w:pPr>
                    <w:pStyle w:val="1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一般防渗</w:t>
                  </w:r>
                </w:p>
              </w:tc>
              <w:tc>
                <w:tcPr>
                  <w:tcW w:w="5442" w:type="dxa"/>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一般防渗区。</w:t>
                  </w:r>
                  <w:r>
                    <w:rPr>
                      <w:rFonts w:hint="default" w:ascii="Times New Roman" w:hAnsi="Times New Roman" w:eastAsia="宋体" w:cs="Times New Roman"/>
                      <w:color w:val="auto"/>
                      <w:sz w:val="21"/>
                      <w:szCs w:val="21"/>
                      <w:highlight w:val="none"/>
                    </w:rPr>
                    <w:t>等效黏土防渗层厚度Mb≥1.5，渗透系数满足≤1.0×10</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cm/s要求</w:t>
                  </w:r>
                  <w:r>
                    <w:rPr>
                      <w:rFonts w:hint="default" w:ascii="Times New Roman" w:hAnsi="Times New Roman" w:eastAsia="宋体" w:cs="Times New Roman"/>
                      <w:color w:val="auto"/>
                      <w:sz w:val="21"/>
                      <w:szCs w:val="21"/>
                      <w:highlight w:val="none"/>
                      <w:lang w:eastAsia="zh-CN"/>
                    </w:rPr>
                    <w:t>。一般工业固废暂存区地面在现有混凝土硬化基础上，铺设土工膜，并用高强度混凝土</w:t>
                  </w:r>
                  <w:r>
                    <w:rPr>
                      <w:rFonts w:hint="eastAsia" w:ascii="Times New Roman" w:hAnsi="Times New Roman" w:eastAsia="宋体" w:cs="Times New Roman"/>
                      <w:color w:val="auto"/>
                      <w:sz w:val="21"/>
                      <w:szCs w:val="21"/>
                      <w:highlight w:val="none"/>
                      <w:lang w:eastAsia="zh-CN"/>
                    </w:rPr>
                    <w:t>浇筑</w:t>
                  </w:r>
                  <w:r>
                    <w:rPr>
                      <w:rFonts w:hint="default" w:ascii="Times New Roman" w:hAnsi="Times New Roman" w:eastAsia="宋体" w:cs="Times New Roman"/>
                      <w:color w:val="auto"/>
                      <w:sz w:val="21"/>
                      <w:szCs w:val="21"/>
                      <w:highlight w:val="none"/>
                      <w:lang w:eastAsia="zh-CN"/>
                    </w:rPr>
                    <w:t>作防渗处理</w:t>
                  </w:r>
                </w:p>
              </w:tc>
              <w:tc>
                <w:tcPr>
                  <w:tcW w:w="451" w:type="dxa"/>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73" w:type="dxa"/>
                  <w:noWrap w:val="0"/>
                  <w:vAlign w:val="center"/>
                </w:tcPr>
                <w:p>
                  <w:pPr>
                    <w:pStyle w:val="11"/>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p>
              </w:tc>
              <w:tc>
                <w:tcPr>
                  <w:tcW w:w="1398" w:type="dxa"/>
                  <w:noWrap w:val="0"/>
                  <w:vAlign w:val="center"/>
                </w:tcPr>
                <w:p>
                  <w:pPr>
                    <w:pStyle w:val="11"/>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危废暂存间</w:t>
                  </w:r>
                </w:p>
              </w:tc>
              <w:tc>
                <w:tcPr>
                  <w:tcW w:w="837" w:type="dxa"/>
                  <w:noWrap w:val="0"/>
                  <w:vAlign w:val="center"/>
                </w:tcPr>
                <w:p>
                  <w:pPr>
                    <w:pStyle w:val="1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重点防渗</w:t>
                  </w:r>
                </w:p>
              </w:tc>
              <w:tc>
                <w:tcPr>
                  <w:tcW w:w="5442" w:type="dxa"/>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Cs w:val="21"/>
                      <w:highlight w:val="none"/>
                      <w:lang w:val="en-US" w:eastAsia="zh-CN"/>
                    </w:rPr>
                    <w:t>重点防渗区。</w:t>
                  </w:r>
                  <w:r>
                    <w:rPr>
                      <w:rFonts w:hint="default" w:ascii="Times New Roman" w:hAnsi="Times New Roman" w:eastAsia="宋体" w:cs="Times New Roman"/>
                      <w:bCs/>
                      <w:color w:val="auto"/>
                      <w:kern w:val="0"/>
                      <w:sz w:val="21"/>
                      <w:szCs w:val="21"/>
                      <w:highlight w:val="none"/>
                    </w:rPr>
                    <w:t>防渗层的防渗性能应等效于渗透系数≤1.0×10</w:t>
                  </w:r>
                  <w:r>
                    <w:rPr>
                      <w:rFonts w:hint="default" w:ascii="Times New Roman" w:hAnsi="Times New Roman" w:eastAsia="宋体" w:cs="Times New Roman"/>
                      <w:bCs/>
                      <w:color w:val="auto"/>
                      <w:kern w:val="0"/>
                      <w:sz w:val="21"/>
                      <w:szCs w:val="21"/>
                      <w:highlight w:val="none"/>
                      <w:vertAlign w:val="superscript"/>
                    </w:rPr>
                    <w:t>-7</w:t>
                  </w:r>
                  <w:r>
                    <w:rPr>
                      <w:rFonts w:hint="default" w:ascii="Times New Roman" w:hAnsi="Times New Roman" w:eastAsia="宋体" w:cs="Times New Roman"/>
                      <w:bCs/>
                      <w:color w:val="auto"/>
                      <w:kern w:val="0"/>
                      <w:sz w:val="21"/>
                      <w:szCs w:val="21"/>
                      <w:highlight w:val="none"/>
                    </w:rPr>
                    <w:t>cm/s的黏土层的防渗性能</w:t>
                  </w:r>
                  <w:r>
                    <w:rPr>
                      <w:rFonts w:hint="default" w:ascii="Times New Roman" w:hAnsi="Times New Roman" w:eastAsia="宋体" w:cs="Times New Roman"/>
                      <w:bCs/>
                      <w:color w:val="auto"/>
                      <w:kern w:val="0"/>
                      <w:sz w:val="21"/>
                      <w:szCs w:val="21"/>
                      <w:highlight w:val="none"/>
                      <w:lang w:eastAsia="zh-CN"/>
                    </w:rPr>
                    <w:t>或2毫米厚高密度聚乙烯，或</w:t>
                  </w:r>
                  <w:r>
                    <w:rPr>
                      <w:rFonts w:hint="default" w:ascii="Times New Roman" w:hAnsi="Times New Roman" w:eastAsia="宋体" w:cs="Times New Roman"/>
                      <w:bCs/>
                      <w:color w:val="auto"/>
                      <w:kern w:val="0"/>
                      <w:sz w:val="21"/>
                      <w:szCs w:val="21"/>
                      <w:highlight w:val="none"/>
                    </w:rPr>
                    <w:t>等效于</w:t>
                  </w:r>
                  <w:r>
                    <w:rPr>
                      <w:rFonts w:hint="default" w:ascii="Times New Roman" w:hAnsi="Times New Roman" w:eastAsia="宋体" w:cs="Times New Roman"/>
                      <w:bCs/>
                      <w:color w:val="auto"/>
                      <w:kern w:val="0"/>
                      <w:sz w:val="21"/>
                      <w:szCs w:val="21"/>
                      <w:highlight w:val="none"/>
                      <w:lang w:eastAsia="zh-CN"/>
                    </w:rPr>
                    <w:t>渗透系数≤10</w:t>
                  </w:r>
                  <w:r>
                    <w:rPr>
                      <w:rFonts w:hint="default" w:ascii="Times New Roman" w:hAnsi="Times New Roman" w:eastAsia="宋体" w:cs="Times New Roman"/>
                      <w:bCs/>
                      <w:color w:val="auto"/>
                      <w:kern w:val="0"/>
                      <w:sz w:val="21"/>
                      <w:szCs w:val="21"/>
                      <w:highlight w:val="none"/>
                      <w:vertAlign w:val="superscript"/>
                      <w:lang w:eastAsia="zh-CN"/>
                    </w:rPr>
                    <w:t>-10</w:t>
                  </w:r>
                  <w:r>
                    <w:rPr>
                      <w:rFonts w:hint="default" w:ascii="Times New Roman" w:hAnsi="Times New Roman" w:eastAsia="宋体" w:cs="Times New Roman"/>
                      <w:bCs/>
                      <w:color w:val="auto"/>
                      <w:kern w:val="0"/>
                      <w:sz w:val="21"/>
                      <w:szCs w:val="21"/>
                      <w:highlight w:val="none"/>
                    </w:rPr>
                    <w:t>cm/s的</w:t>
                  </w:r>
                  <w:r>
                    <w:rPr>
                      <w:rFonts w:hint="default" w:ascii="Times New Roman" w:hAnsi="Times New Roman" w:eastAsia="宋体" w:cs="Times New Roman"/>
                      <w:bCs/>
                      <w:color w:val="auto"/>
                      <w:kern w:val="0"/>
                      <w:sz w:val="21"/>
                      <w:szCs w:val="21"/>
                      <w:highlight w:val="none"/>
                      <w:lang w:eastAsia="zh-CN"/>
                    </w:rPr>
                    <w:t>至少2毫米厚的其它人工材料危废暂存区在现有混凝土铺设2毫米厚高密度聚乙烯材料，满足防渗要求。</w:t>
                  </w:r>
                  <w:r>
                    <w:rPr>
                      <w:rFonts w:hint="default" w:ascii="Times New Roman" w:hAnsi="Times New Roman" w:eastAsia="宋体" w:cs="Times New Roman"/>
                      <w:color w:val="auto"/>
                      <w:szCs w:val="21"/>
                      <w:highlight w:val="none"/>
                      <w:lang w:eastAsia="zh-CN"/>
                    </w:rPr>
                    <w:t>其次须设置防晒、防雨淋等装置，应设计堵截泄露的裙脚，地面与裙脚所围建的容积不低于堵截最大容器最大储量或总储量的1/5；须设置收集沟及收集井等</w:t>
                  </w:r>
                </w:p>
              </w:tc>
              <w:tc>
                <w:tcPr>
                  <w:tcW w:w="451" w:type="dxa"/>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未建</w:t>
                  </w:r>
                </w:p>
              </w:tc>
            </w:tr>
          </w:tbl>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2、土壤</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（1）污染源</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bCs/>
                <w:color w:val="auto"/>
                <w:kern w:val="0"/>
                <w:sz w:val="24"/>
                <w:highlight w:val="none"/>
                <w:lang w:val="en-US" w:eastAsia="zh-CN"/>
              </w:rPr>
              <w:t>项目土壤</w:t>
            </w:r>
            <w:r>
              <w:rPr>
                <w:rFonts w:hint="default" w:ascii="Times New Roman" w:hAnsi="Times New Roman" w:eastAsia="宋体" w:cs="Times New Roman"/>
                <w:bCs/>
                <w:color w:val="auto"/>
                <w:kern w:val="0"/>
                <w:sz w:val="24"/>
                <w:highlight w:val="none"/>
                <w:lang w:eastAsia="zh-CN"/>
              </w:rPr>
              <w:t>污染源为</w:t>
            </w:r>
            <w:r>
              <w:rPr>
                <w:rFonts w:hint="default" w:ascii="Times New Roman" w:hAnsi="Times New Roman" w:eastAsia="宋体" w:cs="Times New Roman"/>
                <w:bCs/>
                <w:color w:val="auto"/>
                <w:kern w:val="0"/>
                <w:sz w:val="24"/>
                <w:highlight w:val="none"/>
                <w:lang w:val="en-US" w:eastAsia="zh-CN"/>
              </w:rPr>
              <w:t>危废暂存间。</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（2）污染物类型</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危废暂存间污染物主要为</w:t>
            </w:r>
            <w:r>
              <w:rPr>
                <w:rFonts w:hint="default" w:ascii="Times New Roman" w:hAnsi="Times New Roman" w:eastAsia="宋体" w:cs="Times New Roman"/>
                <w:bCs/>
                <w:color w:val="auto"/>
                <w:kern w:val="0"/>
                <w:sz w:val="24"/>
                <w:highlight w:val="none"/>
                <w:lang w:val="en-US" w:eastAsia="zh-CN"/>
              </w:rPr>
              <w:t>石油烃</w:t>
            </w:r>
            <w:r>
              <w:rPr>
                <w:rFonts w:hint="default" w:ascii="Times New Roman" w:hAnsi="Times New Roman" w:eastAsia="宋体" w:cs="Times New Roman"/>
                <w:bCs/>
                <w:color w:val="auto"/>
                <w:kern w:val="0"/>
                <w:sz w:val="24"/>
                <w:highlight w:val="none"/>
                <w:lang w:eastAsia="zh-CN"/>
              </w:rPr>
              <w:t>。</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val="0"/>
                <w:color w:val="auto"/>
                <w:kern w:val="0"/>
                <w:sz w:val="24"/>
                <w:highlight w:val="none"/>
              </w:rPr>
            </w:pPr>
            <w:r>
              <w:rPr>
                <w:rFonts w:hint="default" w:ascii="Times New Roman" w:hAnsi="Times New Roman" w:eastAsia="宋体" w:cs="Times New Roman"/>
                <w:b/>
                <w:bCs w:val="0"/>
                <w:color w:val="auto"/>
                <w:kern w:val="0"/>
                <w:sz w:val="24"/>
                <w:highlight w:val="none"/>
                <w:lang w:val="en-US" w:eastAsia="zh-CN"/>
              </w:rPr>
              <w:t>（3）污染途径</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eastAsia="宋体" w:cs="Times New Roman"/>
                <w:bCs/>
                <w:color w:val="auto"/>
                <w:kern w:val="0"/>
                <w:sz w:val="24"/>
                <w:highlight w:val="none"/>
                <w:lang w:eastAsia="zh-CN"/>
              </w:rPr>
              <w:t>①危险废物暂存间地面防渗破损，</w:t>
            </w:r>
            <w:r>
              <w:rPr>
                <w:rFonts w:hint="eastAsia" w:ascii="Times New Roman" w:hAnsi="Times New Roman" w:eastAsia="宋体" w:cs="Times New Roman"/>
                <w:bCs/>
                <w:color w:val="auto"/>
                <w:kern w:val="0"/>
                <w:sz w:val="24"/>
                <w:highlight w:val="none"/>
                <w:lang w:eastAsia="zh-CN"/>
              </w:rPr>
              <w:t>废机油</w:t>
            </w:r>
            <w:r>
              <w:rPr>
                <w:rFonts w:hint="default" w:ascii="Times New Roman" w:hAnsi="Times New Roman" w:eastAsia="宋体" w:cs="Times New Roman"/>
                <w:bCs/>
                <w:color w:val="auto"/>
                <w:kern w:val="0"/>
                <w:sz w:val="24"/>
                <w:highlight w:val="none"/>
                <w:lang w:eastAsia="zh-CN"/>
              </w:rPr>
              <w:t>泄漏，渗透污染土壤；</w:t>
            </w:r>
          </w:p>
          <w:p>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0"/>
                <w:sz w:val="24"/>
                <w:highlight w:val="none"/>
                <w:lang w:val="en-US" w:eastAsia="zh-CN"/>
              </w:rPr>
            </w:pPr>
            <w:r>
              <w:rPr>
                <w:rFonts w:hint="default" w:ascii="Times New Roman" w:hAnsi="Times New Roman" w:eastAsia="宋体" w:cs="Times New Roman"/>
                <w:b/>
                <w:bCs w:val="0"/>
                <w:color w:val="auto"/>
                <w:kern w:val="0"/>
                <w:sz w:val="24"/>
                <w:highlight w:val="none"/>
                <w:lang w:val="en-US" w:eastAsia="zh-CN"/>
              </w:rPr>
              <w:t>（4）环境保护措施</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项目实行分区防渗，其中</w:t>
            </w:r>
            <w:r>
              <w:rPr>
                <w:rFonts w:hint="eastAsia" w:ascii="Times New Roman" w:hAnsi="Times New Roman" w:eastAsia="宋体" w:cs="Times New Roman"/>
                <w:bCs/>
                <w:color w:val="auto"/>
                <w:kern w:val="0"/>
                <w:sz w:val="24"/>
                <w:highlight w:val="none"/>
                <w:lang w:val="en-US" w:eastAsia="zh-CN"/>
              </w:rPr>
              <w:t>初期雨水收集池以及生活污水收集池、沉淀池</w:t>
            </w:r>
            <w:r>
              <w:rPr>
                <w:rFonts w:hint="default" w:ascii="Times New Roman" w:hAnsi="Times New Roman" w:eastAsia="宋体" w:cs="Times New Roman"/>
                <w:bCs/>
                <w:color w:val="auto"/>
                <w:kern w:val="0"/>
                <w:sz w:val="24"/>
                <w:highlight w:val="none"/>
              </w:rPr>
              <w:t>为一般防渗区</w:t>
            </w:r>
            <w:r>
              <w:rPr>
                <w:rFonts w:hint="default" w:ascii="Times New Roman" w:hAnsi="Times New Roman" w:eastAsia="宋体" w:cs="Times New Roman"/>
                <w:bCs/>
                <w:color w:val="auto"/>
                <w:kern w:val="0"/>
                <w:sz w:val="24"/>
                <w:highlight w:val="none"/>
                <w:lang w:eastAsia="zh-CN"/>
              </w:rPr>
              <w:t>；</w:t>
            </w:r>
            <w:r>
              <w:rPr>
                <w:rFonts w:hint="default" w:ascii="Times New Roman" w:hAnsi="Times New Roman" w:eastAsia="宋体" w:cs="Times New Roman"/>
                <w:bCs/>
                <w:color w:val="auto"/>
                <w:kern w:val="0"/>
                <w:sz w:val="24"/>
                <w:highlight w:val="none"/>
              </w:rPr>
              <w:t>危险废物暂存间为重点防渗区</w:t>
            </w:r>
            <w:r>
              <w:rPr>
                <w:rFonts w:hint="default" w:ascii="Times New Roman" w:hAnsi="Times New Roman" w:eastAsia="宋体" w:cs="Times New Roman"/>
                <w:bCs/>
                <w:color w:val="auto"/>
                <w:kern w:val="0"/>
                <w:sz w:val="24"/>
                <w:highlight w:val="none"/>
                <w:lang w:eastAsia="zh-CN"/>
              </w:rPr>
              <w:t>。危险废物暂存间按</w:t>
            </w:r>
            <w:r>
              <w:rPr>
                <w:rFonts w:hint="default" w:ascii="Times New Roman" w:hAnsi="Times New Roman" w:eastAsia="宋体" w:cs="Times New Roman"/>
                <w:bCs/>
                <w:color w:val="auto"/>
                <w:kern w:val="0"/>
                <w:sz w:val="24"/>
                <w:highlight w:val="none"/>
              </w:rPr>
              <w:t>《危险废物贮存污染控制标准》（GB18597-20</w:t>
            </w:r>
            <w:r>
              <w:rPr>
                <w:rFonts w:hint="default" w:ascii="Times New Roman" w:hAnsi="Times New Roman" w:eastAsia="宋体" w:cs="Times New Roman"/>
                <w:bCs/>
                <w:color w:val="auto"/>
                <w:kern w:val="0"/>
                <w:sz w:val="24"/>
                <w:highlight w:val="none"/>
                <w:lang w:val="en-US" w:eastAsia="zh-CN"/>
              </w:rPr>
              <w:t>23</w:t>
            </w:r>
            <w:r>
              <w:rPr>
                <w:rFonts w:hint="default" w:ascii="Times New Roman" w:hAnsi="Times New Roman" w:eastAsia="宋体" w:cs="Times New Roman"/>
                <w:bCs/>
                <w:color w:val="auto"/>
                <w:kern w:val="0"/>
                <w:sz w:val="24"/>
                <w:highlight w:val="none"/>
              </w:rPr>
              <w:t>）的相关要求建设。</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color w:val="auto"/>
                <w:sz w:val="24"/>
              </w:rPr>
              <w:t>本项目正常情况下，</w:t>
            </w:r>
            <w:r>
              <w:rPr>
                <w:rFonts w:hint="default" w:ascii="Times New Roman" w:hAnsi="Times New Roman" w:eastAsia="宋体" w:cs="Times New Roman"/>
                <w:color w:val="auto"/>
                <w:sz w:val="24"/>
                <w:lang w:val="en-US" w:eastAsia="zh-CN"/>
              </w:rPr>
              <w:t>危废暂存间、</w:t>
            </w:r>
            <w:r>
              <w:rPr>
                <w:rFonts w:hint="eastAsia" w:ascii="Times New Roman" w:hAnsi="Times New Roman" w:eastAsia="宋体" w:cs="Times New Roman"/>
                <w:color w:val="auto"/>
                <w:sz w:val="24"/>
                <w:lang w:val="en-US" w:eastAsia="zh-CN"/>
              </w:rPr>
              <w:t>初期雨水</w:t>
            </w:r>
            <w:r>
              <w:rPr>
                <w:rFonts w:hint="default" w:ascii="Times New Roman" w:hAnsi="Times New Roman" w:eastAsia="宋体" w:cs="Times New Roman"/>
                <w:color w:val="auto"/>
                <w:sz w:val="24"/>
                <w:lang w:val="en-US" w:eastAsia="zh-CN"/>
              </w:rPr>
              <w:t>收集池</w:t>
            </w:r>
            <w:r>
              <w:rPr>
                <w:rFonts w:hint="eastAsia" w:ascii="Times New Roman" w:hAnsi="Times New Roman" w:eastAsia="宋体" w:cs="Times New Roman"/>
                <w:color w:val="auto"/>
                <w:sz w:val="24"/>
                <w:lang w:val="en-US" w:eastAsia="zh-CN"/>
              </w:rPr>
              <w:t>以及生活污水收集池、</w:t>
            </w:r>
            <w:r>
              <w:rPr>
                <w:rFonts w:hint="eastAsia" w:ascii="Times New Roman" w:hAnsi="Times New Roman" w:eastAsia="宋体" w:cs="Times New Roman"/>
                <w:bCs/>
                <w:color w:val="auto"/>
                <w:kern w:val="0"/>
                <w:sz w:val="24"/>
                <w:highlight w:val="none"/>
                <w:lang w:val="en-US" w:eastAsia="zh-CN"/>
              </w:rPr>
              <w:t>沉淀池</w:t>
            </w:r>
            <w:r>
              <w:rPr>
                <w:rFonts w:hint="default" w:ascii="Times New Roman" w:hAnsi="Times New Roman" w:eastAsia="宋体" w:cs="Times New Roman"/>
                <w:color w:val="auto"/>
                <w:sz w:val="24"/>
              </w:rPr>
              <w:t>采取防渗措施</w:t>
            </w:r>
            <w:r>
              <w:rPr>
                <w:rFonts w:hint="default" w:ascii="Times New Roman" w:hAnsi="Times New Roman" w:eastAsia="宋体" w:cs="Times New Roman"/>
                <w:color w:val="auto"/>
                <w:sz w:val="24"/>
                <w:lang w:val="en-US" w:eastAsia="zh-CN"/>
              </w:rPr>
              <w:t>后</w:t>
            </w:r>
            <w:r>
              <w:rPr>
                <w:rFonts w:hint="default" w:ascii="Times New Roman" w:hAnsi="Times New Roman" w:eastAsia="宋体" w:cs="Times New Roman"/>
                <w:color w:val="auto"/>
                <w:sz w:val="24"/>
              </w:rPr>
              <w:t>，对地下水和土壤均无影响。</w:t>
            </w:r>
            <w:r>
              <w:rPr>
                <w:rFonts w:hint="default" w:ascii="Times New Roman" w:hAnsi="Times New Roman" w:eastAsia="宋体" w:cs="Times New Roman"/>
                <w:color w:val="auto"/>
                <w:sz w:val="24"/>
                <w:lang w:val="en-US" w:eastAsia="zh-CN"/>
              </w:rPr>
              <w:t>运营过程中应加强管理，定期、不定期对会产生渗漏风险的设施进行检查，一旦出现裂、漏情况应及时修补。故项目在落实地下水及土壤保护措施的前提下，对地下水及土壤的环境影响是可接受的。</w:t>
            </w:r>
          </w:p>
          <w:p>
            <w:pPr>
              <w:pStyle w:val="72"/>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b/>
                <w:bCs/>
                <w:color w:val="auto"/>
                <w:kern w:val="0"/>
                <w:sz w:val="24"/>
                <w:szCs w:val="32"/>
                <w:highlight w:val="none"/>
                <w:lang w:eastAsia="zh-CN"/>
              </w:rPr>
            </w:pPr>
            <w:r>
              <w:rPr>
                <w:rFonts w:hint="default" w:ascii="Times New Roman" w:hAnsi="Times New Roman" w:eastAsia="宋体" w:cs="Times New Roman"/>
                <w:b/>
                <w:bCs/>
                <w:color w:val="auto"/>
                <w:kern w:val="0"/>
                <w:sz w:val="24"/>
                <w:szCs w:val="32"/>
                <w:highlight w:val="none"/>
                <w:lang w:val="en-US" w:eastAsia="zh-CN"/>
              </w:rPr>
              <w:t>六</w:t>
            </w:r>
            <w:r>
              <w:rPr>
                <w:rFonts w:hint="default" w:ascii="Times New Roman" w:hAnsi="Times New Roman" w:eastAsia="宋体" w:cs="Times New Roman"/>
                <w:b/>
                <w:bCs/>
                <w:color w:val="auto"/>
                <w:kern w:val="0"/>
                <w:sz w:val="24"/>
                <w:szCs w:val="32"/>
                <w:highlight w:val="none"/>
              </w:rPr>
              <w:t>、环境风险</w:t>
            </w:r>
            <w:r>
              <w:rPr>
                <w:rFonts w:hint="default" w:ascii="Times New Roman" w:hAnsi="Times New Roman" w:eastAsia="宋体" w:cs="Times New Roman"/>
                <w:b/>
                <w:bCs/>
                <w:color w:val="auto"/>
                <w:kern w:val="0"/>
                <w:sz w:val="24"/>
                <w:szCs w:val="32"/>
                <w:highlight w:val="none"/>
                <w:lang w:eastAsia="zh-CN"/>
              </w:rPr>
              <w:t>分析</w:t>
            </w:r>
          </w:p>
          <w:p>
            <w:pPr>
              <w:spacing w:line="360" w:lineRule="auto"/>
              <w:ind w:firstLine="480"/>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rPr>
              <w:t>按照《建设项目环境风险评价技术导则》（HJ169-2018）的要求，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pStyle w:val="3"/>
              <w:spacing w:before="0" w:after="0" w:line="360" w:lineRule="auto"/>
              <w:ind w:firstLine="482"/>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rPr>
              <w:t>、建设项目风险源调查</w:t>
            </w:r>
          </w:p>
          <w:p>
            <w:pPr>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根据《建设项目环境风险评估技术导则》（HJ/T169-</w:t>
            </w:r>
            <w:r>
              <w:rPr>
                <w:rFonts w:hint="default" w:ascii="Times New Roman" w:hAnsi="Times New Roman" w:eastAsia="宋体" w:cs="Times New Roman"/>
                <w:color w:val="auto"/>
                <w:sz w:val="24"/>
                <w:szCs w:val="24"/>
                <w:lang w:val="en-US" w:eastAsia="zh-CN"/>
              </w:rPr>
              <w:t>2018</w:t>
            </w:r>
            <w:r>
              <w:rPr>
                <w:rFonts w:hint="default" w:ascii="Times New Roman" w:hAnsi="Times New Roman" w:eastAsia="宋体" w:cs="Times New Roman"/>
                <w:color w:val="auto"/>
                <w:sz w:val="24"/>
                <w:szCs w:val="24"/>
              </w:rPr>
              <w:t>），本项目厂区最大风险源为废</w:t>
            </w:r>
            <w:r>
              <w:rPr>
                <w:rFonts w:hint="eastAsia" w:ascii="Times New Roman" w:hAnsi="Times New Roman" w:cs="Times New Roman"/>
                <w:color w:val="auto"/>
                <w:sz w:val="24"/>
                <w:szCs w:val="24"/>
                <w:lang w:val="en-US" w:eastAsia="zh-CN"/>
              </w:rPr>
              <w:t>机油、污水</w:t>
            </w:r>
            <w:r>
              <w:rPr>
                <w:rFonts w:hint="default" w:ascii="Times New Roman" w:hAnsi="Times New Roman" w:eastAsia="宋体" w:cs="Times New Roman"/>
                <w:color w:val="auto"/>
                <w:sz w:val="24"/>
                <w:szCs w:val="24"/>
              </w:rPr>
              <w:t>，废油收集于</w:t>
            </w:r>
            <w:r>
              <w:rPr>
                <w:rFonts w:hint="default" w:ascii="Times New Roman" w:hAnsi="Times New Roman" w:cs="Times New Roman"/>
                <w:color w:val="auto"/>
                <w:sz w:val="24"/>
                <w:szCs w:val="24"/>
                <w:lang w:eastAsia="zh-CN"/>
              </w:rPr>
              <w:t>废油</w:t>
            </w:r>
            <w:r>
              <w:rPr>
                <w:rFonts w:hint="default" w:ascii="Times New Roman" w:hAnsi="Times New Roman" w:eastAsia="宋体" w:cs="Times New Roman"/>
                <w:color w:val="auto"/>
                <w:sz w:val="24"/>
                <w:szCs w:val="24"/>
              </w:rPr>
              <w:t>收集桶内，最大暂存量为</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05</w:t>
            </w:r>
            <w:r>
              <w:rPr>
                <w:rFonts w:hint="default" w:ascii="Times New Roman" w:hAnsi="Times New Roman" w:eastAsia="宋体" w:cs="Times New Roman"/>
                <w:color w:val="auto"/>
                <w:sz w:val="24"/>
                <w:szCs w:val="24"/>
              </w:rPr>
              <w:t>t。</w:t>
            </w:r>
          </w:p>
          <w:p>
            <w:pPr>
              <w:pStyle w:val="3"/>
              <w:spacing w:before="0" w:after="0" w:line="360" w:lineRule="auto"/>
              <w:ind w:firstLine="482"/>
              <w:rPr>
                <w:rFonts w:hint="default"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rPr>
              <w:t>、风险识别</w:t>
            </w:r>
          </w:p>
          <w:p>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根据《建设项目环境风险评价技术导则》（HJ169-2018），风险识别主要包括物质危险性识别、生产系统危险性识别和危险物质向环境转移的途径识别。</w:t>
            </w:r>
          </w:p>
          <w:p>
            <w:pPr>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（1）物质危险性识别</w:t>
            </w:r>
          </w:p>
          <w:p>
            <w:pPr>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本项目在运营期间</w:t>
            </w:r>
            <w:r>
              <w:rPr>
                <w:rFonts w:hint="eastAsia" w:ascii="Times New Roman" w:hAnsi="Times New Roman" w:cs="Times New Roman"/>
                <w:color w:val="auto"/>
                <w:sz w:val="24"/>
                <w:szCs w:val="24"/>
                <w:lang w:eastAsia="zh-CN"/>
              </w:rPr>
              <w:t>废机油</w:t>
            </w:r>
            <w:r>
              <w:rPr>
                <w:rFonts w:hint="default" w:ascii="Times New Roman" w:hAnsi="Times New Roman" w:eastAsia="宋体" w:cs="Times New Roman"/>
                <w:color w:val="auto"/>
                <w:sz w:val="24"/>
                <w:szCs w:val="24"/>
              </w:rPr>
              <w:t>最大暂存量为</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05</w:t>
            </w:r>
            <w:r>
              <w:rPr>
                <w:rFonts w:hint="default" w:ascii="Times New Roman" w:hAnsi="Times New Roman" w:eastAsia="宋体" w:cs="Times New Roman"/>
                <w:color w:val="auto"/>
                <w:sz w:val="24"/>
                <w:szCs w:val="24"/>
              </w:rPr>
              <w:t>t，根据《建设项目环境风险评价技术导则》（HJ169-2018）附录B，确定本项目</w:t>
            </w:r>
            <w:r>
              <w:rPr>
                <w:rFonts w:hint="eastAsia" w:ascii="Times New Roman" w:hAnsi="Times New Roman" w:eastAsia="宋体" w:cs="Times New Roman"/>
                <w:color w:val="auto"/>
                <w:sz w:val="24"/>
                <w:szCs w:val="24"/>
                <w:lang w:eastAsia="zh-CN"/>
              </w:rPr>
              <w:t>废</w:t>
            </w:r>
            <w:r>
              <w:rPr>
                <w:rFonts w:hint="eastAsia" w:ascii="Times New Roman" w:hAnsi="Times New Roman" w:cs="Times New Roman"/>
                <w:color w:val="auto"/>
                <w:sz w:val="24"/>
                <w:szCs w:val="24"/>
                <w:lang w:eastAsia="zh-CN"/>
              </w:rPr>
              <w:t>机油</w:t>
            </w:r>
            <w:r>
              <w:rPr>
                <w:rFonts w:hint="default" w:ascii="Times New Roman" w:hAnsi="Times New Roman" w:eastAsia="宋体" w:cs="Times New Roman"/>
                <w:color w:val="auto"/>
                <w:sz w:val="24"/>
                <w:szCs w:val="24"/>
              </w:rPr>
              <w:t>属于重点关注的危险物质。</w:t>
            </w:r>
            <w:r>
              <w:rPr>
                <w:rFonts w:hint="default" w:ascii="Times New Roman" w:hAnsi="Times New Roman" w:cs="Times New Roman"/>
                <w:bCs/>
                <w:color w:val="auto"/>
                <w:sz w:val="24"/>
                <w:szCs w:val="24"/>
              </w:rPr>
              <w:t>本项目所涉及的环境风险物质的危险特性及理化性质见下表：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4-</w:t>
            </w:r>
            <w:r>
              <w:rPr>
                <w:rFonts w:hint="eastAsia" w:ascii="Times New Roman" w:hAnsi="Times New Roman" w:cs="Times New Roman"/>
                <w:b/>
                <w:bCs/>
                <w:color w:val="auto"/>
                <w:sz w:val="21"/>
                <w:szCs w:val="21"/>
                <w:highlight w:val="none"/>
                <w:lang w:val="en-US" w:eastAsia="zh-CN"/>
              </w:rPr>
              <w:t>18</w:t>
            </w:r>
            <w:r>
              <w:rPr>
                <w:rFonts w:hint="default" w:ascii="Times New Roman" w:hAnsi="Times New Roman" w:eastAsia="宋体" w:cs="Times New Roman"/>
                <w:b/>
                <w:bCs/>
                <w:color w:val="auto"/>
                <w:sz w:val="21"/>
                <w:szCs w:val="21"/>
                <w:lang w:eastAsia="zh-CN"/>
              </w:rPr>
              <w:t>机油</w:t>
            </w:r>
            <w:r>
              <w:rPr>
                <w:rFonts w:hint="default" w:ascii="Times New Roman" w:hAnsi="Times New Roman" w:eastAsia="宋体" w:cs="Times New Roman"/>
                <w:b/>
                <w:bCs/>
                <w:color w:val="auto"/>
                <w:sz w:val="21"/>
                <w:szCs w:val="21"/>
              </w:rPr>
              <w:t>性质及危险性一览表</w:t>
            </w:r>
          </w:p>
          <w:tbl>
            <w:tblPr>
              <w:tblStyle w:val="26"/>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2209"/>
              <w:gridCol w:w="474"/>
              <w:gridCol w:w="459"/>
              <w:gridCol w:w="1256"/>
              <w:gridCol w:w="104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标识</w:t>
                  </w:r>
                </w:p>
              </w:tc>
              <w:tc>
                <w:tcPr>
                  <w:tcW w:w="31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中文名：机油</w:t>
                  </w:r>
                </w:p>
              </w:tc>
              <w:tc>
                <w:tcPr>
                  <w:tcW w:w="498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英文名：lubricating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分子式：/</w:t>
                  </w:r>
                </w:p>
              </w:tc>
              <w:tc>
                <w:tcPr>
                  <w:tcW w:w="276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分子量：230～500</w:t>
                  </w:r>
                </w:p>
              </w:tc>
              <w:tc>
                <w:tcPr>
                  <w:tcW w:w="26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危规号：HW08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理化性质</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性状：淡黄色粘稠液体，油状液体。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溶解性：溶于笨、乙醇、乙醚、氯仿、丙酮等多数有机溶剂。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熔点（℃）：/</w:t>
                  </w:r>
                </w:p>
              </w:tc>
              <w:tc>
                <w:tcPr>
                  <w:tcW w:w="21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沸点（℃）：-252.8</w:t>
                  </w:r>
                </w:p>
              </w:tc>
              <w:tc>
                <w:tcPr>
                  <w:tcW w:w="373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相对密度（水＝1）：&lt;1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临界温度（℃）：/</w:t>
                  </w:r>
                </w:p>
              </w:tc>
              <w:tc>
                <w:tcPr>
                  <w:tcW w:w="21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临界压力（MPa）：</w:t>
                  </w:r>
                </w:p>
              </w:tc>
              <w:tc>
                <w:tcPr>
                  <w:tcW w:w="373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相对密度（空气＝1）：0.85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2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燃烧热（KJ/mol）：/</w:t>
                  </w:r>
                </w:p>
              </w:tc>
              <w:tc>
                <w:tcPr>
                  <w:tcW w:w="21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最小点火能（mJ）：</w:t>
                  </w:r>
                </w:p>
              </w:tc>
              <w:tc>
                <w:tcPr>
                  <w:tcW w:w="373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饱和蒸汽压（UPa）：/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燃烧爆炸危险性</w:t>
                  </w: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燃烧性：可燃</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燃烧分解产物：CO、CO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等有毒有害气体。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闪点（℃）：76</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爆炸下限（％）：/</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爆炸上限（％）：/</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最大爆炸压力（MPa）：/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268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引燃温度（℃）：248</w:t>
                  </w:r>
                </w:p>
              </w:tc>
              <w:tc>
                <w:tcPr>
                  <w:tcW w:w="544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危险特性：可燃液体，火灾危险性为丙B类；遇明火，高热可燃。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灭火方法：消防人员须佩戴防毒面具，穿全身防护服，在上风向灭火。尽可能将容器从火场中转移至空旷处。喷水保持火场容器冷却，直至灭火结束。处在火场中的容器若已变色或从安全泄压装置中产生声音，必须立即撤离。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毒性</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对人体危害</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侵入途径：急性吸入、皮肤接触、口食入、眼接触等。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健康危害：出现乏力、头晕、头痛、恶心，严重者可引起油脂性肺炎。慢接触者，暴露部位可发生油性痤疮和接触性皮炎。可引发神经衰弱综合征，呼吸道和眼刺激症状及慢性油脂性肺炎。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急救</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皮肤接触：脱去污染的衣着，用大量流动清水清洗。就医。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眼镜接触：提起眼睑，用流动清水或生理盐水清洗。就医。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吸入：迅速脱离现场至空气新鲜处，保持呼吸通畅。如呼吸困难，输氧。如呼吸停止，立即进行人工呼吸。就医。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食入：饮适量温水，催吐。就医。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防护</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工程控制：生产储存密闭，全面通风，禁火源。提供安全淋浴和洗眼设备。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呼吸系统防护：空气中浓度超标时，必须佩戴自吸过滤式防毒面具（半面罩）；紧急事态抢救或撤离时，应佩戴空气呼吸器。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身体防护：穿防渗透工作服。</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手防护：戴橡胶耐油手套。</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其他防护：工作现场严禁吸烟，避免长期反复接触。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泄漏处理</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撤离泄漏污染区人员至安全区，并进行隔离，严格限制出入。切断火源。建议应急处理人员戴自给正式呼吸器，穿防毒服。尽可能切断泄漏源。防止流入下水道、排洪沟等限制性空间。小量泄漏:用砂土或其他不燃材料吸附或吸收，减少挥发。大量泄漏:构筑围堤或挖场收容用泵转移至槽车或专用收集器内，回收或运至废物处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贮运</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条件：储存在阴凉、通风的仓间内。远离火种、热源，防止阳光直射。包装要求密封，不可与空气接触。应与氧化剂、酸类分开存放。储存间内的照明、通风等设施应采用防爆型，开关设在仓外。配备相应品种和数量的消防器材。禁止使用易产生火花的机械设备和工具。灌装时应注意流速（不超过3m/s），且有接地装置，防止静电积聚。分装和搬运作业要注意个人防护，搬运时要轻装轻卸，防止包装及容器损坏。运输按规定线路行驶。</w:t>
                  </w:r>
                </w:p>
              </w:tc>
            </w:tr>
          </w:tbl>
          <w:p>
            <w:pPr>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（2）生产系统危险性识别</w:t>
            </w:r>
          </w:p>
          <w:p>
            <w:pPr>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default" w:ascii="Times New Roman" w:hAnsi="Times New Roman" w:eastAsia="宋体" w:cs="Times New Roman"/>
                <w:color w:val="auto"/>
                <w:sz w:val="24"/>
                <w:szCs w:val="24"/>
              </w:rPr>
              <w:t>生产系统危险性识别包括主要生产装置、储运设施、公用工程和辅助生产设施，以及环境保护设施等。</w:t>
            </w:r>
          </w:p>
          <w:p>
            <w:pPr>
              <w:pStyle w:val="56"/>
              <w:spacing w:afterLines="0" w:line="276"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val="en-US" w:eastAsia="zh-CN"/>
              </w:rPr>
              <w:t>19</w:t>
            </w:r>
            <w:r>
              <w:rPr>
                <w:rFonts w:hint="default" w:ascii="Times New Roman" w:hAnsi="Times New Roman" w:cs="Times New Roman"/>
                <w:color w:val="auto"/>
                <w:sz w:val="21"/>
                <w:szCs w:val="21"/>
              </w:rPr>
              <w:t>生产系统危险性识别</w:t>
            </w:r>
          </w:p>
          <w:tbl>
            <w:tblPr>
              <w:tblStyle w:val="26"/>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57"/>
              <w:gridCol w:w="1529"/>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风险源</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风险物质</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项目区</w:t>
                  </w:r>
                  <w:r>
                    <w:rPr>
                      <w:rFonts w:hint="eastAsia" w:ascii="Times New Roman" w:hAnsi="Times New Roman" w:cs="Times New Roman"/>
                      <w:color w:val="auto"/>
                      <w:sz w:val="21"/>
                      <w:szCs w:val="21"/>
                      <w:lang w:eastAsia="zh-CN"/>
                    </w:rPr>
                    <w:t>废机油</w:t>
                  </w:r>
                  <w:r>
                    <w:rPr>
                      <w:rFonts w:hint="default" w:ascii="Times New Roman" w:hAnsi="Times New Roman" w:cs="Times New Roman"/>
                      <w:color w:val="auto"/>
                      <w:sz w:val="21"/>
                      <w:szCs w:val="21"/>
                    </w:rPr>
                    <w:t>收集桶</w:t>
                  </w: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废机油</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废机油</w:t>
                  </w:r>
                  <w:r>
                    <w:rPr>
                      <w:rFonts w:hint="default" w:ascii="Times New Roman" w:hAnsi="Times New Roman" w:cs="Times New Roman"/>
                      <w:color w:val="auto"/>
                      <w:sz w:val="21"/>
                      <w:szCs w:val="21"/>
                    </w:rPr>
                    <w:t>泄漏导致事故排放，对地表水、土壤造成不良影响。</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（3）危险物质向环境转移途径识别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w:t>
            </w:r>
            <w:r>
              <w:rPr>
                <w:rFonts w:hint="eastAsia" w:ascii="Times New Roman" w:hAnsi="Times New Roman" w:eastAsia="宋体" w:cs="Times New Roman"/>
                <w:color w:val="auto"/>
                <w:sz w:val="24"/>
                <w:szCs w:val="24"/>
                <w:lang w:eastAsia="zh-CN"/>
              </w:rPr>
              <w:t>废</w:t>
            </w:r>
            <w:r>
              <w:rPr>
                <w:rFonts w:hint="eastAsia" w:ascii="Times New Roman" w:hAnsi="Times New Roman" w:cs="Times New Roman"/>
                <w:color w:val="auto"/>
                <w:sz w:val="24"/>
                <w:szCs w:val="24"/>
                <w:lang w:eastAsia="zh-CN"/>
              </w:rPr>
              <w:t>机油</w:t>
            </w:r>
            <w:r>
              <w:rPr>
                <w:rFonts w:hint="default" w:ascii="Times New Roman" w:hAnsi="Times New Roman" w:eastAsia="宋体" w:cs="Times New Roman"/>
                <w:color w:val="auto"/>
                <w:sz w:val="24"/>
                <w:szCs w:val="24"/>
              </w:rPr>
              <w:t>存在泄漏风险，主要是通过土壤、地表水造成环境影响。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、风险潜势判断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根据《建设项目环境风险评价技术导则》（HJ169-2018），建设项目环境风险潜势划分为Ⅰ、Ⅱ、Ⅲ、Ⅳ/Ⅳ</w:t>
            </w:r>
            <w:r>
              <w:rPr>
                <w:rFonts w:hint="default" w:ascii="Times New Roman" w:hAnsi="Times New Roman" w:eastAsia="宋体" w:cs="Times New Roman"/>
                <w:color w:val="auto"/>
                <w:sz w:val="24"/>
                <w:szCs w:val="24"/>
                <w:vertAlign w:val="superscript"/>
              </w:rPr>
              <w:t>+</w:t>
            </w:r>
            <w:r>
              <w:rPr>
                <w:rFonts w:hint="default" w:ascii="Times New Roman" w:hAnsi="Times New Roman" w:eastAsia="宋体" w:cs="Times New Roman"/>
                <w:color w:val="auto"/>
                <w:sz w:val="24"/>
                <w:szCs w:val="24"/>
              </w:rPr>
              <w:t>级。根据建设项目涉及的物质和工艺系统的危险性及其所在地的环境敏感程度，结合事故情形下环境影响途径，对建设项目潜在环境危害程度进行概化分析，确定环境风险潜势。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废</w:t>
            </w:r>
            <w:r>
              <w:rPr>
                <w:rFonts w:hint="eastAsia" w:ascii="Times New Roman" w:hAnsi="Times New Roman" w:cs="Times New Roman"/>
                <w:color w:val="auto"/>
                <w:sz w:val="24"/>
                <w:szCs w:val="24"/>
                <w:lang w:eastAsia="zh-CN"/>
              </w:rPr>
              <w:t>机油</w:t>
            </w:r>
            <w:r>
              <w:rPr>
                <w:rFonts w:hint="default" w:ascii="Times New Roman" w:hAnsi="Times New Roman" w:eastAsia="宋体" w:cs="Times New Roman"/>
                <w:color w:val="auto"/>
                <w:sz w:val="24"/>
                <w:szCs w:val="24"/>
              </w:rPr>
              <w:t>存在泄漏风险。根据《建设项目环境风险评价技术导则》（HJ169-2018）附录B确定危险物质的临界量。定量分析危险物质数量与临界量的比值（Q）和所属行业及生产工艺特点（M），按附录C对危险物质及工艺系统危险性（P）等级进行判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查阅《建设项目环境风险评价技术导则》（HJ169-2018）附录B，本项目涉及的环境风险物质为第381号物质-油类物质（矿物油类），临界量分别为2500（t），本项目最大存储量</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05</w:t>
            </w:r>
            <w:r>
              <w:rPr>
                <w:rFonts w:hint="default" w:ascii="Times New Roman" w:hAnsi="Times New Roman" w:eastAsia="宋体" w:cs="Times New Roman"/>
                <w:color w:val="auto"/>
                <w:sz w:val="24"/>
                <w:szCs w:val="24"/>
              </w:rPr>
              <w:t>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当Q＜1时，该项目环境风险潜势为Ⅰ。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当Q≥1时，将Q值划分为：（1）1≤Q＜10；（2）10≤Q＜100；（3）Q≥100。</w:t>
            </w:r>
          </w:p>
          <w:p>
            <w:pPr>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经计算可知，Q=</w:t>
            </w:r>
            <w:r>
              <w:rPr>
                <w:rFonts w:hint="default" w:ascii="Times New Roman" w:hAnsi="Times New Roman" w:cs="Times New Roman"/>
                <w:b/>
                <w:color w:val="auto"/>
                <w:sz w:val="24"/>
                <w:szCs w:val="24"/>
                <w:lang w:val="en-US" w:eastAsia="zh-CN"/>
              </w:rPr>
              <w:t>0.</w:t>
            </w:r>
            <w:r>
              <w:rPr>
                <w:rFonts w:hint="eastAsia" w:ascii="Times New Roman" w:hAnsi="Times New Roman" w:cs="Times New Roman"/>
                <w:b/>
                <w:color w:val="auto"/>
                <w:sz w:val="24"/>
                <w:szCs w:val="24"/>
                <w:lang w:val="en-US" w:eastAsia="zh-CN"/>
              </w:rPr>
              <w:t>05</w:t>
            </w:r>
            <w:r>
              <w:rPr>
                <w:rFonts w:hint="default" w:ascii="Times New Roman" w:hAnsi="Times New Roman" w:eastAsia="宋体" w:cs="Times New Roman"/>
                <w:b/>
                <w:color w:val="auto"/>
                <w:sz w:val="24"/>
                <w:szCs w:val="24"/>
              </w:rPr>
              <w:t>/2500=0.</w:t>
            </w:r>
            <w:r>
              <w:rPr>
                <w:rFonts w:hint="default" w:ascii="Times New Roman" w:hAnsi="Times New Roman" w:cs="Times New Roman"/>
                <w:b/>
                <w:color w:val="auto"/>
                <w:sz w:val="24"/>
                <w:szCs w:val="24"/>
                <w:lang w:val="en-US" w:eastAsia="zh-CN"/>
              </w:rPr>
              <w:t>00</w:t>
            </w:r>
            <w:r>
              <w:rPr>
                <w:rFonts w:hint="default" w:ascii="Times New Roman" w:hAnsi="Times New Roman" w:eastAsia="宋体" w:cs="Times New Roman"/>
                <w:b/>
                <w:color w:val="auto"/>
                <w:sz w:val="24"/>
                <w:szCs w:val="24"/>
              </w:rPr>
              <w:t>0</w:t>
            </w:r>
            <w:r>
              <w:rPr>
                <w:rFonts w:hint="eastAsia" w:ascii="Times New Roman" w:hAnsi="Times New Roman" w:cs="Times New Roman"/>
                <w:b/>
                <w:color w:val="auto"/>
                <w:sz w:val="24"/>
                <w:szCs w:val="24"/>
                <w:lang w:val="en-US" w:eastAsia="zh-CN"/>
              </w:rPr>
              <w:t>02</w:t>
            </w:r>
            <w:r>
              <w:rPr>
                <w:rFonts w:hint="default" w:ascii="Times New Roman" w:hAnsi="Times New Roman" w:eastAsia="宋体" w:cs="Times New Roman"/>
                <w:b/>
                <w:color w:val="auto"/>
                <w:sz w:val="24"/>
                <w:szCs w:val="24"/>
              </w:rPr>
              <w:t>，即Q＜1。则本项目环境风险潜势为Ⅰ。</w:t>
            </w:r>
          </w:p>
          <w:p>
            <w:pPr>
              <w:spacing w:line="360" w:lineRule="auto"/>
              <w:ind w:firstLine="480"/>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、风险评价等级</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环境风险评价工作等级划分为一级、二级、三级。根据建设项目涉及的物质及工艺系统危险性和所在地的环境敏感性确定环境风险潜势确定评价工作等级。</w:t>
            </w:r>
          </w:p>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4-</w:t>
            </w:r>
            <w:r>
              <w:rPr>
                <w:rFonts w:hint="eastAsia" w:ascii="Times New Roman" w:hAnsi="Times New Roman" w:cs="Times New Roman"/>
                <w:b/>
                <w:color w:val="auto"/>
                <w:szCs w:val="21"/>
                <w:lang w:val="en-US" w:eastAsia="zh-CN"/>
              </w:rPr>
              <w:t>20</w:t>
            </w:r>
            <w:r>
              <w:rPr>
                <w:rFonts w:hint="default" w:ascii="Times New Roman" w:hAnsi="Times New Roman" w:cs="Times New Roman"/>
                <w:b/>
                <w:color w:val="auto"/>
                <w:szCs w:val="21"/>
              </w:rPr>
              <w:t>评价工作等级划分</w:t>
            </w:r>
          </w:p>
          <w:tbl>
            <w:tblPr>
              <w:tblStyle w:val="26"/>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741"/>
              <w:gridCol w:w="1741"/>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环境风险潜势</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Ⅳ、Ⅳ</w:t>
                  </w:r>
                  <w:r>
                    <w:rPr>
                      <w:rFonts w:hint="default" w:ascii="Times New Roman" w:hAnsi="Times New Roman" w:cs="Times New Roman"/>
                      <w:b/>
                      <w:bCs/>
                      <w:color w:val="auto"/>
                      <w:szCs w:val="21"/>
                      <w:vertAlign w:val="superscript"/>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Ⅲ</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Ⅱ</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评价工作等级</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一</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二</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三</w:t>
                  </w:r>
                </w:p>
              </w:tc>
              <w:tc>
                <w:tcPr>
                  <w:tcW w:w="17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简单分析</w:t>
                  </w:r>
                  <w:r>
                    <w:rPr>
                      <w:rFonts w:hint="default" w:ascii="Times New Roman" w:hAnsi="Times New Roman" w:cs="Times New Roman"/>
                      <w:b/>
                      <w:color w:val="auto"/>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70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a是相对于详细评价工作内容而言，在描述危险物质、环境影响途径、环境危害后果、风险防范措施等方面给出定性的说明。见附录A。</w:t>
                  </w:r>
                </w:p>
              </w:tc>
            </w:tr>
          </w:tbl>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因此，本项目环境风险进行简单分析。</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、事故环境风险影响分析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泄漏事故影响分析</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bCs/>
                <w:color w:val="auto"/>
                <w:sz w:val="24"/>
                <w:highlight w:val="none"/>
              </w:rPr>
              <w:t>项目暂存的废机油具有易燃特性，其泄漏会对大气环境产生一定影响，也会造成火灾、爆炸等引发的伴生/次生污染物排放,对大气环境会产生一定影响。</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废机油遇明火发生火灾事故，产生CO和CO</w:t>
            </w:r>
            <w:r>
              <w:rPr>
                <w:rFonts w:hint="default" w:ascii="Times New Roman" w:hAnsi="Times New Roman" w:eastAsia="宋体" w:cs="Times New Roman"/>
                <w:bCs/>
                <w:color w:val="auto"/>
                <w:sz w:val="24"/>
                <w:highlight w:val="none"/>
                <w:vertAlign w:val="subscript"/>
              </w:rPr>
              <w:t>2</w:t>
            </w:r>
            <w:r>
              <w:rPr>
                <w:rFonts w:hint="default" w:ascii="Times New Roman" w:hAnsi="Times New Roman" w:eastAsia="宋体" w:cs="Times New Roman"/>
                <w:bCs/>
                <w:color w:val="auto"/>
                <w:sz w:val="24"/>
                <w:highlight w:val="none"/>
              </w:rPr>
              <w:t>等污染物，排放到大气环境中会污染大气环境，项目区存储量较小，发生火灾爆炸事故的概率较小，在发生火灾时能够及时采取措施在最短时间内将火扑灭，废气产生量很小，在扑灭后经空气扩散稀释后对大气环境影响较小。废气治理设施因停电或故障未能正常运行时，</w:t>
            </w:r>
            <w:r>
              <w:rPr>
                <w:rFonts w:hint="eastAsia" w:ascii="Times New Roman" w:hAnsi="Times New Roman" w:eastAsia="宋体" w:cs="Times New Roman"/>
                <w:bCs/>
                <w:color w:val="auto"/>
                <w:sz w:val="24"/>
                <w:highlight w:val="none"/>
                <w:lang w:eastAsia="zh-CN"/>
              </w:rPr>
              <w:t>废气</w:t>
            </w:r>
            <w:r>
              <w:rPr>
                <w:rFonts w:hint="default" w:ascii="Times New Roman" w:hAnsi="Times New Roman" w:eastAsia="宋体" w:cs="Times New Roman"/>
                <w:bCs/>
                <w:color w:val="auto"/>
                <w:sz w:val="24"/>
                <w:highlight w:val="none"/>
              </w:rPr>
              <w:t>未经处理直接排放，造成局部大气不良影响。</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废机油使用或存储过程如发生泄露，则泄露物料可能会进入雨水管道、地表水体，对地表水体环境产生一定影响，甚至通过下渗对地下水和土壤造成影响;废机油泄漏一旦进入周边水体，将造成水体的污染，由于废机油难溶于水，大部分上浮在水层表面，形成一层油膜使空气隔离，造成水中溶解氧浓度降低，逐渐形成死水，致使水中生物死亡。</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、风险防范</w:t>
            </w:r>
          </w:p>
          <w:p>
            <w:pPr>
              <w:pStyle w:val="71"/>
              <w:keepNext w:val="0"/>
              <w:keepLines w:val="0"/>
              <w:pageBreakBefore w:val="0"/>
              <w:widowControl w:val="0"/>
              <w:kinsoku/>
              <w:wordWrap/>
              <w:overflowPunct/>
              <w:topLinePunct w:val="0"/>
              <w:autoSpaceDE/>
              <w:autoSpaceDN/>
              <w:bidi w:val="0"/>
              <w:adjustRightInd/>
              <w:snapToGrid/>
              <w:ind w:firstLine="496" w:firstLineChars="200"/>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①</w:t>
            </w:r>
            <w:r>
              <w:rPr>
                <w:rFonts w:hint="default" w:ascii="Times New Roman" w:hAnsi="Times New Roman" w:eastAsia="宋体" w:cs="Times New Roman"/>
                <w:color w:val="auto"/>
                <w:kern w:val="24"/>
                <w:sz w:val="24"/>
                <w:highlight w:val="none"/>
                <w:lang w:val="zh-CN"/>
              </w:rPr>
              <w:t>危险废物暂存间严格按照《危险废物贮存污染控制标准》（GB18597-2023）的相关要求建设，</w:t>
            </w:r>
            <w:r>
              <w:rPr>
                <w:rFonts w:hint="default" w:ascii="Times New Roman" w:hAnsi="Times New Roman" w:eastAsia="宋体" w:cs="Times New Roman"/>
                <w:b w:val="0"/>
                <w:bCs w:val="0"/>
                <w:color w:val="auto"/>
                <w:sz w:val="24"/>
                <w:szCs w:val="24"/>
                <w:highlight w:val="none"/>
                <w:lang w:val="en-US" w:eastAsia="zh-CN"/>
              </w:rPr>
              <w:t>采用混凝土硬化护面，防渗层为至少1m厚黏土层（渗透系数≤10</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en-US" w:eastAsia="zh-CN"/>
              </w:rPr>
              <w:t>cm/s），或2mm厚高密度聚乙烯，或至少2mm厚的其他人工材料，渗透系数≤10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default" w:ascii="Times New Roman" w:hAnsi="Times New Roman" w:eastAsia="宋体" w:cs="Times New Roman"/>
                <w:bCs/>
                <w:color w:val="auto"/>
                <w:kern w:val="0"/>
                <w:sz w:val="24"/>
                <w:szCs w:val="24"/>
                <w:highlight w:val="none"/>
                <w:lang w:eastAsia="zh-CN"/>
              </w:rPr>
              <w:t>。其次</w:t>
            </w:r>
            <w:r>
              <w:rPr>
                <w:rFonts w:hint="default" w:ascii="Times New Roman" w:hAnsi="Times New Roman" w:eastAsia="宋体" w:cs="Times New Roman"/>
                <w:color w:val="auto"/>
                <w:kern w:val="24"/>
                <w:sz w:val="24"/>
                <w:highlight w:val="none"/>
                <w:lang w:val="zh-CN"/>
              </w:rPr>
              <w:t>须设置防晒、防雨淋等装置，应设计堵截泄露的裙脚，地面与裙脚所围建的容积不低于堵截最大容器最大储量或总储量的1/5；须设置收集沟及收集井等。</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②</w:t>
            </w:r>
            <w:r>
              <w:rPr>
                <w:rFonts w:hint="default" w:ascii="Times New Roman" w:hAnsi="Times New Roman" w:eastAsia="宋体" w:cs="Times New Roman"/>
                <w:color w:val="auto"/>
                <w:kern w:val="24"/>
                <w:sz w:val="24"/>
                <w:highlight w:val="none"/>
                <w:lang w:val="zh-CN"/>
              </w:rPr>
              <w:t>定期检查检修生产设备，定期维护；</w:t>
            </w:r>
            <w:r>
              <w:rPr>
                <w:rFonts w:hint="default" w:ascii="Times New Roman" w:hAnsi="Times New Roman" w:eastAsia="宋体" w:cs="Times New Roman"/>
                <w:color w:val="auto"/>
                <w:kern w:val="24"/>
                <w:sz w:val="24"/>
                <w:highlight w:val="none"/>
                <w:lang w:val="en-US" w:eastAsia="zh-CN"/>
              </w:rPr>
              <w:t>定期查看废机油储存有无泄漏情况</w:t>
            </w:r>
            <w:r>
              <w:rPr>
                <w:rFonts w:hint="default" w:ascii="Times New Roman" w:hAnsi="Times New Roman" w:eastAsia="宋体" w:cs="Times New Roman"/>
                <w:color w:val="auto"/>
                <w:kern w:val="24"/>
                <w:sz w:val="24"/>
                <w:highlight w:val="none"/>
                <w:lang w:val="zh-CN"/>
              </w:rPr>
              <w:t>。</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③</w:t>
            </w:r>
            <w:r>
              <w:rPr>
                <w:rFonts w:hint="default" w:ascii="Times New Roman" w:hAnsi="Times New Roman" w:eastAsia="宋体" w:cs="Times New Roman"/>
                <w:color w:val="auto"/>
                <w:kern w:val="24"/>
                <w:sz w:val="24"/>
                <w:highlight w:val="none"/>
                <w:lang w:val="zh-CN"/>
              </w:rPr>
              <w:t>对装有危废的容器进行定期检查，容器泄漏损坏时必须立即处理，并将危废装入完好容器内。同时危险废物储存区设置警示标牌。</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zh-CN"/>
              </w:rPr>
            </w:pPr>
            <w:r>
              <w:rPr>
                <w:rFonts w:hint="default" w:ascii="Times New Roman" w:hAnsi="Times New Roman" w:eastAsia="宋体" w:cs="Times New Roman"/>
                <w:color w:val="auto"/>
                <w:kern w:val="24"/>
                <w:sz w:val="24"/>
                <w:highlight w:val="none"/>
                <w:lang w:val="en-US" w:eastAsia="zh-CN"/>
              </w:rPr>
              <w:t>④</w:t>
            </w:r>
            <w:r>
              <w:rPr>
                <w:rFonts w:hint="default" w:ascii="Times New Roman" w:hAnsi="Times New Roman" w:eastAsia="宋体" w:cs="Times New Roman"/>
                <w:color w:val="auto"/>
                <w:kern w:val="24"/>
                <w:sz w:val="24"/>
                <w:highlight w:val="none"/>
                <w:lang w:val="zh-CN"/>
              </w:rPr>
              <w:t>所有包装袋、桶必须贴上危险废物标签，危险废物标签上文字字体为黑体、底色为醒目的桔黄色，稳妥贴附在包装袋、桶适当位置，使其清晰易读。危险废物标签要提供下列说明：“危险废物”字样、危险废物产生单位名称、联系人、联系电话、主要化学成分或商品名称、危险类别、安全措施等。</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eastAsia="宋体" w:cs="Times New Roman"/>
                <w:color w:val="auto"/>
                <w:kern w:val="24"/>
                <w:sz w:val="24"/>
                <w:highlight w:val="none"/>
                <w:lang w:val="en-US" w:eastAsia="zh-CN"/>
              </w:rPr>
              <w:t>⑤</w:t>
            </w:r>
            <w:r>
              <w:rPr>
                <w:rFonts w:hint="default" w:ascii="Times New Roman" w:hAnsi="Times New Roman" w:eastAsia="宋体" w:cs="Times New Roman"/>
                <w:bCs/>
                <w:color w:val="auto"/>
                <w:sz w:val="24"/>
                <w:highlight w:val="none"/>
              </w:rPr>
              <w:t>加强安全管理，制定突发环境事件应急预案，设置应急领导小组，按照应急预案要求配备应急设施和资源，落实风险防范和应急处置措施</w:t>
            </w:r>
            <w:r>
              <w:rPr>
                <w:rFonts w:hint="default" w:ascii="Times New Roman" w:hAnsi="Times New Roman" w:eastAsia="宋体" w:cs="Times New Roman"/>
                <w:bCs/>
                <w:color w:val="auto"/>
                <w:sz w:val="24"/>
                <w:highlight w:val="none"/>
                <w:lang w:eastAsia="zh-CN"/>
              </w:rPr>
              <w:t>。</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⑥项目区按照《建筑灭火器配置设计规范》</w:t>
            </w:r>
            <w:r>
              <w:rPr>
                <w:rFonts w:hint="eastAsia" w:ascii="Times New Roman" w:hAnsi="Times New Roman" w:eastAsia="宋体" w:cs="Times New Roman"/>
                <w:color w:val="auto"/>
                <w:kern w:val="24"/>
                <w:sz w:val="24"/>
                <w:highlight w:val="none"/>
                <w:lang w:val="en-US" w:eastAsia="zh-CN"/>
              </w:rPr>
              <w:t>（</w:t>
            </w:r>
            <w:r>
              <w:rPr>
                <w:rFonts w:hint="default" w:ascii="Times New Roman" w:hAnsi="Times New Roman" w:eastAsia="宋体" w:cs="Times New Roman"/>
                <w:color w:val="auto"/>
                <w:kern w:val="24"/>
                <w:sz w:val="24"/>
                <w:highlight w:val="none"/>
                <w:lang w:val="en-US" w:eastAsia="zh-CN"/>
              </w:rPr>
              <w:t>GB50140-2010</w:t>
            </w:r>
            <w:r>
              <w:rPr>
                <w:rFonts w:hint="eastAsia" w:ascii="Times New Roman" w:hAnsi="Times New Roman" w:eastAsia="宋体" w:cs="Times New Roman"/>
                <w:color w:val="auto"/>
                <w:kern w:val="24"/>
                <w:sz w:val="24"/>
                <w:highlight w:val="none"/>
                <w:lang w:val="en-US" w:eastAsia="zh-CN"/>
              </w:rPr>
              <w:t>）</w:t>
            </w:r>
            <w:r>
              <w:rPr>
                <w:rFonts w:hint="default" w:ascii="Times New Roman" w:hAnsi="Times New Roman" w:eastAsia="宋体" w:cs="Times New Roman"/>
                <w:color w:val="auto"/>
                <w:kern w:val="24"/>
                <w:sz w:val="24"/>
                <w:highlight w:val="none"/>
                <w:lang w:val="en-US" w:eastAsia="zh-CN"/>
              </w:rPr>
              <w:t>的要求设置消防设施及灭火器材，灭火器材应放在明显、易取的地方，应定期对消防设施及灭火器材进行检查、维护。</w:t>
            </w:r>
          </w:p>
          <w:p>
            <w:pPr>
              <w:pStyle w:val="71"/>
              <w:keepNext w:val="0"/>
              <w:keepLines w:val="0"/>
              <w:pageBreakBefore w:val="0"/>
              <w:widowControl w:val="0"/>
              <w:kinsoku/>
              <w:wordWrap/>
              <w:overflowPunct/>
              <w:topLinePunct w:val="0"/>
              <w:bidi w:val="0"/>
              <w:adjustRightInd/>
              <w:snapToGrid/>
              <w:jc w:val="both"/>
              <w:textAlignment w:val="auto"/>
              <w:rPr>
                <w:rFonts w:hint="default" w:ascii="Times New Roman" w:hAnsi="Times New Roman" w:eastAsia="宋体" w:cs="Times New Roman"/>
                <w:color w:val="auto"/>
                <w:kern w:val="24"/>
                <w:sz w:val="24"/>
                <w:highlight w:val="none"/>
                <w:lang w:val="en-US" w:eastAsia="zh-CN"/>
              </w:rPr>
            </w:pPr>
            <w:r>
              <w:rPr>
                <w:rFonts w:hint="default" w:ascii="Times New Roman" w:hAnsi="Times New Roman" w:eastAsia="宋体" w:cs="Times New Roman"/>
                <w:color w:val="auto"/>
                <w:kern w:val="24"/>
                <w:sz w:val="24"/>
                <w:highlight w:val="none"/>
                <w:lang w:val="en-US" w:eastAsia="zh-CN"/>
              </w:rPr>
              <w:t>⑦若发生火灾事故，会产生消防废液，消防废液禁止外排，经检测后委托有资质单位进行处置。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val="0"/>
                <w:color w:val="auto"/>
                <w:spacing w:val="0"/>
                <w:kern w:val="21"/>
                <w:sz w:val="24"/>
                <w:szCs w:val="24"/>
                <w:lang w:val="en-US" w:eastAsia="zh-CN"/>
              </w:rPr>
            </w:pPr>
            <w:r>
              <w:rPr>
                <w:rFonts w:hint="eastAsia" w:ascii="Times New Roman" w:hAnsi="Times New Roman" w:cs="Times New Roman"/>
                <w:b/>
                <w:bCs w:val="0"/>
                <w:color w:val="auto"/>
                <w:spacing w:val="0"/>
                <w:kern w:val="21"/>
                <w:sz w:val="24"/>
                <w:szCs w:val="24"/>
                <w:lang w:val="en-US" w:eastAsia="zh-CN"/>
              </w:rPr>
              <w:t>7</w:t>
            </w:r>
            <w:r>
              <w:rPr>
                <w:rFonts w:hint="default" w:ascii="Times New Roman" w:hAnsi="Times New Roman" w:cs="Times New Roman"/>
                <w:b/>
                <w:bCs w:val="0"/>
                <w:color w:val="auto"/>
                <w:spacing w:val="0"/>
                <w:kern w:val="21"/>
                <w:sz w:val="24"/>
                <w:szCs w:val="24"/>
                <w:lang w:val="en-US" w:eastAsia="zh-CN"/>
              </w:rPr>
              <w:t>、事故应急预案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pacing w:val="0"/>
                <w:kern w:val="21"/>
                <w:sz w:val="24"/>
                <w:szCs w:val="24"/>
                <w:lang w:val="en-US" w:eastAsia="zh-CN"/>
              </w:rPr>
            </w:pPr>
            <w:r>
              <w:rPr>
                <w:rFonts w:hint="default" w:ascii="Times New Roman" w:hAnsi="Times New Roman" w:cs="Times New Roman"/>
                <w:b w:val="0"/>
                <w:bCs/>
                <w:color w:val="auto"/>
                <w:spacing w:val="0"/>
                <w:kern w:val="21"/>
                <w:sz w:val="24"/>
                <w:szCs w:val="24"/>
                <w:lang w:val="en-US" w:eastAsia="zh-CN"/>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以及系统的恢复和善后处理，可以拯救生命、保护财产、保护环境。事故救援计划应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pacing w:val="0"/>
                <w:kern w:val="21"/>
                <w:sz w:val="24"/>
                <w:szCs w:val="24"/>
                <w:lang w:val="en-US" w:eastAsia="zh-CN"/>
              </w:rPr>
            </w:pPr>
            <w:r>
              <w:rPr>
                <w:rFonts w:hint="default" w:ascii="Times New Roman" w:hAnsi="Times New Roman" w:cs="Times New Roman"/>
                <w:b w:val="0"/>
                <w:bCs/>
                <w:color w:val="auto"/>
                <w:spacing w:val="0"/>
                <w:kern w:val="21"/>
                <w:sz w:val="24"/>
                <w:szCs w:val="24"/>
                <w:lang w:val="en-US" w:eastAsia="zh-CN"/>
              </w:rPr>
              <w:t>①应急救援系统的建立和组成；②应急救援计划的制定；③应急培训和演习；④应急救援行动；⑤现场清除与净化；⑥系统的恢复和善后处理。事故应急预案应包括以下几个方面:①停电时的应急预案；②易燃易爆物料（大量）泄漏时的应急预案；③发生火灾时的应急预案；④发生爆炸时的应急预案；⑤发生人员中毒时的应急预案；⑥生产操作出现严重触电、高温烫伤伤害和严重机械伤害时的应急预案；⑦生产操作控制出现异常情况时的应急预案；⑧特殊气象条件和自然火灾时的应急预案。风险应急预案基本内容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auto"/>
                <w:spacing w:val="0"/>
                <w:kern w:val="21"/>
                <w:sz w:val="24"/>
                <w:szCs w:val="24"/>
                <w:vertAlign w:val="baseline"/>
                <w:lang w:val="en-US" w:eastAsia="zh-CN"/>
              </w:rPr>
            </w:pPr>
            <w:r>
              <w:rPr>
                <w:rFonts w:hint="eastAsia" w:ascii="Times New Roman" w:hAnsi="Times New Roman" w:cs="Times New Roman"/>
                <w:b/>
                <w:bCs w:val="0"/>
                <w:color w:val="auto"/>
                <w:spacing w:val="0"/>
                <w:kern w:val="21"/>
                <w:sz w:val="21"/>
                <w:szCs w:val="21"/>
                <w:highlight w:val="none"/>
                <w:lang w:val="en-US" w:eastAsia="zh-CN"/>
              </w:rPr>
              <w:t>表4-21</w:t>
            </w:r>
            <w:r>
              <w:rPr>
                <w:rFonts w:hint="eastAsia" w:ascii="Times New Roman" w:hAnsi="Times New Roman" w:cs="Times New Roman"/>
                <w:b/>
                <w:bCs w:val="0"/>
                <w:color w:val="auto"/>
                <w:spacing w:val="0"/>
                <w:kern w:val="21"/>
                <w:sz w:val="21"/>
                <w:szCs w:val="21"/>
                <w:lang w:val="en-US" w:eastAsia="zh-CN"/>
              </w:rPr>
              <w:t>环境风险应急预案一览表</w:t>
            </w:r>
          </w:p>
          <w:tbl>
            <w:tblPr>
              <w:tblStyle w:val="27"/>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91"/>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eastAsia" w:ascii="Times New Roman" w:hAnsi="Times New Roman" w:cs="Times New Roman"/>
                      <w:b/>
                      <w:bCs/>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序号</w:t>
                  </w:r>
                </w:p>
              </w:tc>
              <w:tc>
                <w:tcPr>
                  <w:tcW w:w="1191" w:type="dxa"/>
                  <w:noWrap w:val="0"/>
                  <w:vAlign w:val="center"/>
                </w:tcPr>
                <w:p>
                  <w:pPr>
                    <w:adjustRightInd w:val="0"/>
                    <w:snapToGrid w:val="0"/>
                    <w:spacing w:line="240" w:lineRule="auto"/>
                    <w:jc w:val="center"/>
                    <w:rPr>
                      <w:rFonts w:hint="eastAsia" w:ascii="Times New Roman" w:hAnsi="Times New Roman" w:cs="Times New Roman"/>
                      <w:b/>
                      <w:bCs/>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项目</w:t>
                  </w:r>
                </w:p>
              </w:tc>
              <w:tc>
                <w:tcPr>
                  <w:tcW w:w="6740" w:type="dxa"/>
                  <w:noWrap w:val="0"/>
                  <w:vAlign w:val="center"/>
                </w:tcPr>
                <w:p>
                  <w:pPr>
                    <w:adjustRightInd w:val="0"/>
                    <w:snapToGrid w:val="0"/>
                    <w:spacing w:line="240" w:lineRule="auto"/>
                    <w:jc w:val="center"/>
                    <w:rPr>
                      <w:rFonts w:hint="eastAsia" w:ascii="Times New Roman" w:hAnsi="Times New Roman" w:cs="Times New Roman"/>
                      <w:b/>
                      <w:bCs/>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总则</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明确编制目的、编制依据、适用范围、工作原则等。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危险源概况</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环境风险源基本情况、周边环境状况及环境保护目标调查结果。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应急计划区</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危险目标：各生产区、储存区、环境保护目标等。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组织机构及职责</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依据企业的规模大小和突发环境事件危害程度的级别，设置分级应急救援的组织机构。并明确各组及人员职责。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预防与预警</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明确事件预警的条件、方式、方法。报警、通讯联络方式等。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信息报告与通报</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明确信息报告时限和发布的程序、内容和方式。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7</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应急响应与措施</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规定预案的级别和相应的分级响应程序，明确应急措施、应急监测相关内容、应急终止响应条件等，并考虑与区域应急预案的衔接。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8</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应急救援保障</w:t>
                  </w:r>
                </w:p>
              </w:tc>
              <w:tc>
                <w:tcPr>
                  <w:tcW w:w="6740" w:type="dxa"/>
                  <w:noWrap w:val="0"/>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应急设施、设备与器材等生产装置：</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）防火灾、爆炸事故应急设施、设备与材料，主要为消防器材</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）防有毒有害物质外溢、扩散、主要靠吸收吸附材料</w:t>
                  </w:r>
                </w:p>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）防火灾、爆炸事故应急设施、设备与材料，主要为消防器材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后期处置</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明确受灾人员的安置及损失赔偿。组织专家对突发环境事件中长期环境影响进行评估，明确修复方案。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应急培训和演练</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对工厂及临近地区开展公众教育、培训和发布有关信息。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11</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奖惩</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明确突发环境事件应急救援工作中奖励和处罚的条件和内容。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w:t>
                  </w:r>
                </w:p>
              </w:tc>
              <w:tc>
                <w:tcPr>
                  <w:tcW w:w="1191" w:type="dxa"/>
                  <w:noWrap w:val="0"/>
                  <w:vAlign w:val="center"/>
                </w:tcPr>
                <w:p>
                  <w:pPr>
                    <w:keepNext w:val="0"/>
                    <w:keepLines w:val="0"/>
                    <w:widowControl/>
                    <w:suppressLineNumbers w:val="0"/>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保障措施</w:t>
                  </w:r>
                </w:p>
              </w:tc>
              <w:tc>
                <w:tcPr>
                  <w:tcW w:w="6740" w:type="dxa"/>
                  <w:noWrap w:val="0"/>
                  <w:vAlign w:val="center"/>
                </w:tcPr>
                <w:p>
                  <w:pPr>
                    <w:keepNext w:val="0"/>
                    <w:keepLines w:val="0"/>
                    <w:widowControl/>
                    <w:suppressLineNumbers w:val="0"/>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明确应急专项经费、应急救援需要使用的应急物资及装备、应急队伍的组成、通信与信息保障等内容。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70" w:type="dxa"/>
                  <w:noWrap w:val="0"/>
                  <w:vAlign w:val="center"/>
                </w:tcPr>
                <w:p>
                  <w:pPr>
                    <w:adjustRightInd w:val="0"/>
                    <w:snapToGrid w:val="0"/>
                    <w:spacing w:line="360" w:lineRule="auto"/>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w:t>
                  </w:r>
                </w:p>
              </w:tc>
              <w:tc>
                <w:tcPr>
                  <w:tcW w:w="1191" w:type="dxa"/>
                  <w:noWrap w:val="0"/>
                  <w:vAlign w:val="center"/>
                </w:tcPr>
                <w:p>
                  <w:pPr>
                    <w:keepNext w:val="0"/>
                    <w:keepLines w:val="0"/>
                    <w:widowControl/>
                    <w:suppressLineNumbers w:val="0"/>
                    <w:spacing w:line="360" w:lineRule="auto"/>
                    <w:jc w:val="center"/>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附件</w:t>
                  </w:r>
                </w:p>
              </w:tc>
              <w:tc>
                <w:tcPr>
                  <w:tcW w:w="6740" w:type="dxa"/>
                  <w:noWrap w:val="0"/>
                  <w:vAlign w:val="center"/>
                </w:tcPr>
                <w:p>
                  <w:pPr>
                    <w:keepNext w:val="0"/>
                    <w:keepLines w:val="0"/>
                    <w:widowControl/>
                    <w:suppressLineNumbers w:val="0"/>
                    <w:spacing w:line="360" w:lineRule="auto"/>
                    <w:jc w:val="left"/>
                    <w:rPr>
                      <w:rFonts w:hint="eastAsia" w:ascii="Times New Roman" w:hAnsi="Times New Roman" w:cs="Times New Roman"/>
                      <w:b w:val="0"/>
                      <w:bCs w:val="0"/>
                      <w:color w:val="auto"/>
                      <w:sz w:val="21"/>
                      <w:szCs w:val="21"/>
                      <w:vertAlign w:val="baseline"/>
                      <w:lang w:eastAsia="zh-CN"/>
                    </w:rPr>
                  </w:pPr>
                  <w:r>
                    <w:rPr>
                      <w:rFonts w:hint="eastAsia" w:ascii="宋体" w:hAnsi="宋体" w:eastAsia="宋体" w:cs="宋体"/>
                      <w:color w:val="auto"/>
                      <w:kern w:val="0"/>
                      <w:sz w:val="21"/>
                      <w:szCs w:val="21"/>
                      <w:lang w:val="en-US" w:eastAsia="zh-CN" w:bidi="ar"/>
                    </w:rPr>
                    <w:t>与应急事故有关的多种附件材料的准备和形成。</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8</w:t>
            </w:r>
            <w:r>
              <w:rPr>
                <w:rFonts w:hint="default" w:ascii="Times New Roman" w:hAnsi="Times New Roman" w:eastAsia="宋体" w:cs="Times New Roman"/>
                <w:b/>
                <w:bCs/>
                <w:color w:val="auto"/>
                <w:sz w:val="24"/>
              </w:rPr>
              <w:t>、风险评价结论及建议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结论：通过采取严格的风险防范措施，可将风险隐患降至最低，达到可以接受的水平。在采取完善的事故风险防范措施，建立科学完整的应急计划，落实有效的应急救援措施后，本项目的环境风险可以得到有效控制。本项目风险防范措施可靠且可行，因此项目从环境风险角度分析是可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建议：不断更新和完善现有风险事故防范措施和应急预案，力求全面周到、切实可行，并加强与当地环保、消防、卫生等部门及周边企、事业单位的沟通、联络，以取得其理解、支持和应急救援。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b/>
                <w:bCs w:val="0"/>
                <w:color w:val="auto"/>
                <w:sz w:val="24"/>
                <w:szCs w:val="24"/>
                <w:lang w:eastAsia="zh-CN"/>
              </w:rPr>
              <w:t>七、</w:t>
            </w:r>
            <w:r>
              <w:rPr>
                <w:rFonts w:hint="default" w:ascii="Times New Roman" w:hAnsi="Times New Roman" w:eastAsia="宋体" w:cs="Times New Roman"/>
                <w:b/>
                <w:bCs w:val="0"/>
                <w:color w:val="auto"/>
                <w:sz w:val="24"/>
                <w:szCs w:val="24"/>
              </w:rPr>
              <w:t>环境管理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1.</w:t>
            </w:r>
            <w:r>
              <w:rPr>
                <w:rFonts w:hint="default" w:ascii="Times New Roman" w:hAnsi="Times New Roman" w:eastAsia="宋体" w:cs="Times New Roman"/>
                <w:bCs/>
                <w:color w:val="auto"/>
                <w:sz w:val="24"/>
              </w:rPr>
              <w:t>建设单位应加强环境管理，严格执行</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三同时</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制度，并保证相应的人员和资金投入，对污染物实行控制；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加强环境宣传教育，提高管理人员及施工人员，生产劳动人员的环保意识，自觉维护环境卫生；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3.</w:t>
            </w:r>
            <w:r>
              <w:rPr>
                <w:rFonts w:hint="default" w:ascii="Times New Roman" w:hAnsi="Times New Roman" w:eastAsia="宋体" w:cs="Times New Roman"/>
                <w:bCs/>
                <w:color w:val="auto"/>
                <w:sz w:val="24"/>
              </w:rPr>
              <w:t>建立环保岗位，保证环保设施正常使用；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4.</w:t>
            </w:r>
            <w:r>
              <w:rPr>
                <w:rFonts w:hint="default" w:ascii="Times New Roman" w:hAnsi="Times New Roman" w:eastAsia="宋体" w:cs="Times New Roman"/>
                <w:bCs/>
                <w:color w:val="auto"/>
                <w:sz w:val="24"/>
              </w:rPr>
              <w:t>建立环境保护管理机构，检查运营期间环境管理制度的实施；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5.</w:t>
            </w:r>
            <w:r>
              <w:rPr>
                <w:rFonts w:hint="default" w:ascii="Times New Roman" w:hAnsi="Times New Roman" w:eastAsia="宋体" w:cs="Times New Roman"/>
                <w:bCs/>
                <w:color w:val="auto"/>
                <w:sz w:val="24"/>
              </w:rPr>
              <w:t>加强监督，防止突发事故，消除事故隐患。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val="0"/>
                <w:color w:val="auto"/>
                <w:sz w:val="24"/>
                <w:szCs w:val="24"/>
                <w:lang w:eastAsia="zh-CN"/>
              </w:rPr>
            </w:pPr>
            <w:r>
              <w:rPr>
                <w:rFonts w:hint="default" w:ascii="Times New Roman" w:hAnsi="Times New Roman" w:eastAsia="宋体" w:cs="Times New Roman"/>
                <w:b/>
                <w:bCs w:val="0"/>
                <w:color w:val="auto"/>
                <w:sz w:val="24"/>
                <w:szCs w:val="24"/>
                <w:lang w:val="en-US" w:eastAsia="zh-CN"/>
              </w:rPr>
              <w:t>八、</w:t>
            </w:r>
            <w:r>
              <w:rPr>
                <w:rFonts w:hint="default" w:ascii="Times New Roman" w:hAnsi="Times New Roman" w:eastAsia="宋体" w:cs="Times New Roman"/>
                <w:b/>
                <w:bCs w:val="0"/>
                <w:color w:val="auto"/>
                <w:sz w:val="24"/>
                <w:szCs w:val="24"/>
                <w:lang w:eastAsia="zh-CN"/>
              </w:rPr>
              <w:t>自行监测计划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结合本项目特点，本次评价根据</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color w:val="auto"/>
                <w:sz w:val="24"/>
                <w:szCs w:val="24"/>
                <w:lang w:val="en-US" w:eastAsia="zh-CN"/>
              </w:rPr>
              <w:t>排污许可证申请与核发技术规范陶瓷砖瓦工业》（HJ954-2018）</w:t>
            </w:r>
            <w:r>
              <w:rPr>
                <w:rFonts w:hint="default" w:ascii="Times New Roman" w:hAnsi="Times New Roman" w:eastAsia="宋体" w:cs="Times New Roman"/>
                <w:bCs/>
                <w:color w:val="auto"/>
                <w:sz w:val="24"/>
                <w:lang w:val="en-US" w:eastAsia="zh-CN"/>
              </w:rPr>
              <w:t>制定自行监测计划，本项目自行监测计划如下。</w:t>
            </w:r>
          </w:p>
          <w:p>
            <w:pPr>
              <w:keepNext/>
              <w:keepLines/>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22</w:t>
            </w:r>
            <w:r>
              <w:rPr>
                <w:rFonts w:hint="default" w:ascii="Times New Roman" w:hAnsi="Times New Roman" w:eastAsia="宋体" w:cs="Times New Roman"/>
                <w:b/>
                <w:bCs/>
                <w:color w:val="auto"/>
                <w:sz w:val="21"/>
                <w:szCs w:val="21"/>
              </w:rPr>
              <w:t>营运期污染源自行监测计划表</w:t>
            </w:r>
          </w:p>
          <w:tbl>
            <w:tblPr>
              <w:tblStyle w:val="26"/>
              <w:tblW w:w="871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58"/>
              <w:gridCol w:w="1946"/>
              <w:gridCol w:w="1033"/>
              <w:gridCol w:w="1080"/>
              <w:gridCol w:w="3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3" w:type="dxa"/>
                  <w:gridSpan w:val="2"/>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监测类别</w:t>
                  </w:r>
                </w:p>
              </w:tc>
              <w:tc>
                <w:tcPr>
                  <w:tcW w:w="1946" w:type="dxa"/>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监测地点</w:t>
                  </w:r>
                </w:p>
              </w:tc>
              <w:tc>
                <w:tcPr>
                  <w:tcW w:w="1033" w:type="dxa"/>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tc>
              <w:tc>
                <w:tcPr>
                  <w:tcW w:w="1080" w:type="dxa"/>
                  <w:noWrap w:val="0"/>
                  <w:vAlign w:val="center"/>
                </w:tcPr>
                <w:p>
                  <w:pPr>
                    <w:adjustRightInd w:val="0"/>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监测频率</w:t>
                  </w:r>
                </w:p>
              </w:tc>
              <w:tc>
                <w:tcPr>
                  <w:tcW w:w="3199" w:type="dxa"/>
                  <w:tcBorders>
                    <w:right w:val="single" w:color="auto" w:sz="4" w:space="0"/>
                  </w:tcBorders>
                  <w:noWrap w:val="0"/>
                  <w:vAlign w:val="center"/>
                </w:tcPr>
                <w:p>
                  <w:pPr>
                    <w:adjustRightInd w:val="0"/>
                    <w:snapToGrid w:val="0"/>
                    <w:spacing w:line="240" w:lineRule="auto"/>
                    <w:ind w:right="-107" w:rightChars="-51"/>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监测方法及采样频率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Merge w:val="restart"/>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w:t>
                  </w:r>
                </w:p>
              </w:tc>
              <w:tc>
                <w:tcPr>
                  <w:tcW w:w="958" w:type="dxa"/>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946" w:type="dxa"/>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
                    </w:rPr>
                    <w:t>厂界</w:t>
                  </w:r>
                  <w:r>
                    <w:rPr>
                      <w:rFonts w:hint="default" w:ascii="Times New Roman" w:hAnsi="Times New Roman" w:eastAsia="宋体" w:cs="Times New Roman"/>
                      <w:color w:val="auto"/>
                      <w:kern w:val="0"/>
                      <w:sz w:val="21"/>
                      <w:szCs w:val="21"/>
                      <w:highlight w:val="none"/>
                      <w:lang w:bidi="ar"/>
                    </w:rPr>
                    <w:t>东、南、西、北四周各设1个监测点</w:t>
                  </w:r>
                </w:p>
              </w:tc>
              <w:tc>
                <w:tcPr>
                  <w:tcW w:w="1033" w:type="dxa"/>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Leq（A）</w:t>
                  </w:r>
                </w:p>
              </w:tc>
              <w:tc>
                <w:tcPr>
                  <w:tcW w:w="1080" w:type="dxa"/>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1次/季</w:t>
                  </w:r>
                </w:p>
              </w:tc>
              <w:tc>
                <w:tcPr>
                  <w:tcW w:w="3199" w:type="dxa"/>
                  <w:tcBorders>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 w:val="0"/>
                      <w:bCs w:val="0"/>
                      <w:color w:val="auto"/>
                      <w:sz w:val="21"/>
                      <w:szCs w:val="21"/>
                      <w:lang w:val="en-US" w:eastAsia="zh-CN"/>
                    </w:rPr>
                    <w:t>厂界执行</w:t>
                  </w:r>
                  <w:r>
                    <w:rPr>
                      <w:rFonts w:hint="default" w:ascii="Times New Roman" w:hAnsi="Times New Roman" w:cs="Times New Roman"/>
                      <w:b w:val="0"/>
                      <w:bCs w:val="0"/>
                      <w:color w:val="auto"/>
                      <w:sz w:val="21"/>
                      <w:szCs w:val="21"/>
                    </w:rPr>
                    <w:t>《工业企业厂界环境噪声排放标准》（GB12348-2008）中</w:t>
                  </w:r>
                  <w:r>
                    <w:rPr>
                      <w:rFonts w:hint="default"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5" w:type="dxa"/>
                  <w:vMerge w:val="continue"/>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958" w:type="dxa"/>
                  <w:tcBorders>
                    <w:left w:val="single" w:color="auto" w:sz="4" w:space="0"/>
                  </w:tcBorders>
                  <w:noWrap w:val="0"/>
                  <w:vAlign w:val="center"/>
                </w:tcPr>
                <w:p>
                  <w:pPr>
                    <w:widowControl/>
                    <w:ind w:firstLine="0" w:firstLine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无组织颗粒物</w:t>
                  </w:r>
                </w:p>
              </w:tc>
              <w:tc>
                <w:tcPr>
                  <w:tcW w:w="1946" w:type="dxa"/>
                  <w:noWrap w:val="0"/>
                  <w:vAlign w:val="center"/>
                </w:tcPr>
                <w:p>
                  <w:pPr>
                    <w:widowControl/>
                    <w:ind w:firstLine="0" w:firstLine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上风向1个、下风向3个</w:t>
                  </w:r>
                  <w:r>
                    <w:rPr>
                      <w:rFonts w:hint="default" w:ascii="Times New Roman" w:hAnsi="Times New Roman" w:eastAsia="宋体" w:cs="Times New Roman"/>
                      <w:color w:val="auto"/>
                      <w:kern w:val="0"/>
                      <w:sz w:val="21"/>
                      <w:szCs w:val="21"/>
                      <w:highlight w:val="none"/>
                      <w:lang w:bidi="ar"/>
                    </w:rPr>
                    <w:t>，根据监测规范和技术要求设置</w:t>
                  </w:r>
                </w:p>
              </w:tc>
              <w:tc>
                <w:tcPr>
                  <w:tcW w:w="1033"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080"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1次/年</w:t>
                  </w:r>
                </w:p>
              </w:tc>
              <w:tc>
                <w:tcPr>
                  <w:tcW w:w="3199" w:type="dxa"/>
                  <w:tcBorders>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21"/>
                      <w:sz w:val="21"/>
                      <w:szCs w:val="21"/>
                      <w:vertAlign w:val="baseline"/>
                      <w:lang w:eastAsia="zh-CN"/>
                    </w:rPr>
                    <w:t>《大气污染物综合排放标准》（GB16297-1996</w:t>
                  </w:r>
                  <w:r>
                    <w:rPr>
                      <w:rFonts w:hint="default" w:ascii="Times New Roman" w:hAnsi="Times New Roman" w:eastAsia="宋体" w:cs="Times New Roman"/>
                      <w:bCs/>
                      <w:color w:val="auto"/>
                      <w:sz w:val="21"/>
                      <w:szCs w:val="21"/>
                      <w:highlight w:val="none"/>
                    </w:rPr>
                    <w:t>）无组织排放限值</w:t>
                  </w:r>
                  <w:r>
                    <w:rPr>
                      <w:rFonts w:hint="default" w:ascii="Times New Roman" w:hAnsi="Times New Roman" w:eastAsia="宋体" w:cs="Times New Roman"/>
                      <w:color w:val="auto"/>
                      <w:spacing w:val="0"/>
                      <w:w w:val="100"/>
                      <w:sz w:val="21"/>
                      <w:szCs w:val="21"/>
                      <w:highlight w:val="none"/>
                    </w:rPr>
                    <w:t>颗粒物</w:t>
                  </w:r>
                  <w:r>
                    <w:rPr>
                      <w:rFonts w:hint="default" w:ascii="Times New Roman" w:hAnsi="Times New Roman" w:eastAsia="宋体" w:cs="Times New Roman"/>
                      <w:color w:val="auto"/>
                      <w:spacing w:val="0"/>
                      <w:w w:val="100"/>
                      <w:sz w:val="21"/>
                      <w:szCs w:val="21"/>
                      <w:highlight w:val="none"/>
                      <w:lang w:val="en-US" w:eastAsia="zh-CN"/>
                    </w:rPr>
                    <w:t>1.0</w:t>
                  </w:r>
                  <w:r>
                    <w:rPr>
                      <w:rFonts w:hint="default" w:ascii="Times New Roman" w:hAnsi="Times New Roman" w:eastAsia="宋体" w:cs="Times New Roman"/>
                      <w:color w:val="auto"/>
                      <w:spacing w:val="0"/>
                      <w:w w:val="100"/>
                      <w:sz w:val="21"/>
                      <w:szCs w:val="21"/>
                      <w:highlight w:val="none"/>
                    </w:rPr>
                    <w:t>mg/m</w:t>
                  </w:r>
                  <w:r>
                    <w:rPr>
                      <w:rFonts w:hint="default" w:ascii="Times New Roman" w:hAnsi="Times New Roman" w:eastAsia="宋体" w:cs="Times New Roman"/>
                      <w:color w:val="auto"/>
                      <w:spacing w:val="0"/>
                      <w:w w:val="100"/>
                      <w:sz w:val="21"/>
                      <w:szCs w:val="21"/>
                      <w:highlight w:val="none"/>
                      <w:vertAlign w:val="superscript"/>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九</w:t>
            </w: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rPr>
              <w:t>竣工环境保护验收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rPr>
              <w:t>根据《中华人民共和国环境保护法》规定，建设项目污染防治设施必须与主体工程同时设计、同时施工、同时投入运行，而污染防治设施按照竣工环境保护验收严格控制污染源和污染物排放总量、遏制环境恶化趋势的有力措施。项目单位应尽快落实本次评价提出的各项措施，按照</w:t>
            </w: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环保三同时</w:t>
            </w: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要求，项目建成投产后及时</w:t>
            </w:r>
            <w:r>
              <w:rPr>
                <w:rFonts w:hint="default" w:ascii="Times New Roman" w:hAnsi="Times New Roman" w:eastAsia="宋体" w:cs="Times New Roman"/>
                <w:b w:val="0"/>
                <w:bCs/>
                <w:color w:val="auto"/>
                <w:sz w:val="24"/>
                <w:szCs w:val="24"/>
                <w:lang w:val="en-US" w:eastAsia="zh-CN"/>
              </w:rPr>
              <w:t>按照《建设项目竣工环境保护验收暂行办法》自行组织开展</w:t>
            </w:r>
            <w:r>
              <w:rPr>
                <w:rFonts w:hint="default" w:ascii="Times New Roman" w:hAnsi="Times New Roman" w:eastAsia="宋体" w:cs="Times New Roman"/>
                <w:b w:val="0"/>
                <w:bCs/>
                <w:color w:val="auto"/>
                <w:sz w:val="24"/>
                <w:szCs w:val="24"/>
              </w:rPr>
              <w:t>竣工环境保护验收</w:t>
            </w:r>
            <w:r>
              <w:rPr>
                <w:rFonts w:hint="eastAsia" w:ascii="Times New Roman" w:hAnsi="Times New Roman" w:eastAsia="宋体" w:cs="Times New Roman"/>
                <w:b w:val="0"/>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left="103" w:leftChars="49" w:right="103" w:rightChars="49"/>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ascii="Times New Roman" w:hAnsi="Times New Roman" w:cs="Times New Roman"/>
                <w:b/>
                <w:color w:val="auto"/>
                <w:sz w:val="21"/>
                <w:szCs w:val="21"/>
                <w:lang w:val="en-US" w:eastAsia="zh-CN"/>
              </w:rPr>
              <w:t>23</w:t>
            </w:r>
            <w:r>
              <w:rPr>
                <w:rFonts w:hint="default" w:ascii="Times New Roman" w:hAnsi="Times New Roman" w:eastAsia="宋体" w:cs="Times New Roman"/>
                <w:b/>
                <w:color w:val="auto"/>
                <w:sz w:val="21"/>
                <w:szCs w:val="21"/>
              </w:rPr>
              <w:t>竣工环境保护验收一览表</w:t>
            </w:r>
          </w:p>
          <w:tbl>
            <w:tblPr>
              <w:tblStyle w:val="26"/>
              <w:tblW w:w="8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61"/>
              <w:gridCol w:w="2972"/>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类别</w:t>
                  </w:r>
                </w:p>
              </w:tc>
              <w:tc>
                <w:tcPr>
                  <w:tcW w:w="16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处理对象</w:t>
                  </w:r>
                </w:p>
              </w:tc>
              <w:tc>
                <w:tcPr>
                  <w:tcW w:w="29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防治措施</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废气</w:t>
                  </w: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hAnsi="宋体" w:eastAsia="宋体"/>
                      <w:b w:val="0"/>
                      <w:bCs w:val="0"/>
                      <w:color w:val="auto"/>
                      <w:sz w:val="21"/>
                      <w:szCs w:val="21"/>
                      <w:lang w:val="en-US" w:eastAsia="zh-CN"/>
                    </w:rPr>
                    <w:t>破碎筛分粉尘</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000000"/>
                      <w:kern w:val="0"/>
                      <w:sz w:val="21"/>
                      <w:szCs w:val="21"/>
                      <w:lang w:val="en-US" w:eastAsia="zh-CN" w:bidi="ar"/>
                    </w:rPr>
                    <w:t>厂房封闭+喷淋+布袋除尘</w:t>
                  </w:r>
                </w:p>
              </w:tc>
              <w:tc>
                <w:tcPr>
                  <w:tcW w:w="3070" w:type="dxa"/>
                  <w:vMerge w:val="restart"/>
                  <w:noWrap w:val="0"/>
                  <w:vAlign w:val="center"/>
                </w:tcPr>
                <w:p>
                  <w:pPr>
                    <w:keepNext w:val="0"/>
                    <w:keepLines w:val="0"/>
                    <w:widowControl/>
                    <w:suppressLineNumbers w:val="0"/>
                    <w:jc w:val="left"/>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Cs/>
                      <w:color w:val="auto"/>
                      <w:sz w:val="21"/>
                      <w:szCs w:val="21"/>
                      <w:highlight w:val="none"/>
                      <w:lang w:eastAsia="zh-CN"/>
                    </w:rPr>
                    <w:t>《大气污染物综合排放标准》（GB16297-1996）中的无组织排放限值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eastAsia="宋体"/>
                      <w:b w:val="0"/>
                      <w:bCs w:val="0"/>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原料堆场粉尘</w:t>
                  </w:r>
                </w:p>
              </w:tc>
              <w:tc>
                <w:tcPr>
                  <w:tcW w:w="2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bidi="zh-CN"/>
                    </w:rPr>
                    <w:t>设置</w:t>
                  </w:r>
                  <w:r>
                    <w:rPr>
                      <w:rFonts w:hint="eastAsia" w:ascii="Times New Roman" w:hAnsi="Times New Roman" w:eastAsia="宋体" w:cs="Times New Roman"/>
                      <w:color w:val="000000"/>
                      <w:kern w:val="0"/>
                      <w:sz w:val="21"/>
                      <w:szCs w:val="21"/>
                      <w:lang w:val="en-US" w:eastAsia="zh-CN" w:bidi="ar"/>
                    </w:rPr>
                    <w:t>厂房封闭</w:t>
                  </w:r>
                  <w:r>
                    <w:rPr>
                      <w:rFonts w:hint="eastAsia" w:ascii="Times New Roman" w:hAnsi="Times New Roman" w:eastAsia="宋体" w:cs="Times New Roman"/>
                      <w:color w:val="auto"/>
                      <w:sz w:val="21"/>
                      <w:szCs w:val="21"/>
                      <w:highlight w:val="none"/>
                      <w:lang w:val="en-US" w:eastAsia="zh-CN" w:bidi="zh-CN"/>
                    </w:rPr>
                    <w:t>，并</w:t>
                  </w:r>
                  <w:r>
                    <w:rPr>
                      <w:rFonts w:hint="default" w:ascii="Times New Roman" w:hAnsi="Times New Roman" w:eastAsia="宋体" w:cs="Times New Roman"/>
                      <w:color w:val="auto"/>
                      <w:sz w:val="21"/>
                      <w:szCs w:val="21"/>
                      <w:highlight w:val="none"/>
                      <w:lang w:val="en-US" w:eastAsia="zh-CN" w:bidi="zh-CN"/>
                    </w:rPr>
                    <w:t>设置有洒水喷淋设施</w:t>
                  </w:r>
                </w:p>
              </w:tc>
              <w:tc>
                <w:tcPr>
                  <w:tcW w:w="3070" w:type="dxa"/>
                  <w:vMerge w:val="continue"/>
                  <w:noWrap w:val="0"/>
                  <w:vAlign w:val="center"/>
                </w:tcPr>
                <w:p>
                  <w:pPr>
                    <w:keepNext w:val="0"/>
                    <w:keepLines w:val="0"/>
                    <w:widowControl/>
                    <w:suppressLineNumbers w:val="0"/>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Ansi="宋体" w:eastAsia="宋体"/>
                      <w:b w:val="0"/>
                      <w:bCs w:val="0"/>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成品堆场粉尘</w:t>
                  </w:r>
                </w:p>
              </w:tc>
              <w:tc>
                <w:tcPr>
                  <w:tcW w:w="2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bidi="zh-CN"/>
                    </w:rPr>
                    <w:t>设置</w:t>
                  </w:r>
                  <w:r>
                    <w:rPr>
                      <w:rFonts w:hint="eastAsia" w:ascii="Times New Roman" w:hAnsi="Times New Roman" w:eastAsia="宋体" w:cs="Times New Roman"/>
                      <w:color w:val="000000"/>
                      <w:kern w:val="0"/>
                      <w:sz w:val="21"/>
                      <w:szCs w:val="21"/>
                      <w:lang w:val="en-US" w:eastAsia="zh-CN" w:bidi="ar"/>
                    </w:rPr>
                    <w:t>厂房封闭，</w:t>
                  </w:r>
                  <w:r>
                    <w:rPr>
                      <w:rFonts w:hint="eastAsia" w:ascii="Times New Roman" w:hAnsi="Times New Roman" w:eastAsia="宋体" w:cs="Times New Roman"/>
                      <w:color w:val="auto"/>
                      <w:sz w:val="21"/>
                      <w:szCs w:val="21"/>
                      <w:highlight w:val="none"/>
                      <w:lang w:val="en-US" w:eastAsia="zh-CN" w:bidi="zh-CN"/>
                    </w:rPr>
                    <w:t>并</w:t>
                  </w:r>
                  <w:r>
                    <w:rPr>
                      <w:rFonts w:hint="default" w:ascii="Times New Roman" w:hAnsi="Times New Roman" w:eastAsia="宋体" w:cs="Times New Roman"/>
                      <w:color w:val="auto"/>
                      <w:sz w:val="21"/>
                      <w:szCs w:val="21"/>
                      <w:highlight w:val="none"/>
                      <w:lang w:val="en-US" w:eastAsia="zh-CN" w:bidi="zh-CN"/>
                    </w:rPr>
                    <w:t>设置有洒水喷淋设施</w:t>
                  </w:r>
                </w:p>
              </w:tc>
              <w:tc>
                <w:tcPr>
                  <w:tcW w:w="3070" w:type="dxa"/>
                  <w:vMerge w:val="continue"/>
                  <w:noWrap w:val="0"/>
                  <w:vAlign w:val="center"/>
                </w:tcPr>
                <w:p>
                  <w:pPr>
                    <w:keepNext w:val="0"/>
                    <w:keepLines w:val="0"/>
                    <w:widowControl/>
                    <w:suppressLineNumbers w:val="0"/>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废水</w:t>
                  </w: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生活污水</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旱厕（1个，总容积3m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），生活污水收集池（1个，2m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），油水分离器（&gt;0.3m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生产废水</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沉淀池（3个，单个容积50m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初期雨水</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初期雨水收集池（1个，总容积50m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w:t>
                  </w:r>
                </w:p>
              </w:tc>
              <w:tc>
                <w:tcPr>
                  <w:tcW w:w="30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噪声</w:t>
                  </w:r>
                </w:p>
              </w:tc>
              <w:tc>
                <w:tcPr>
                  <w:tcW w:w="16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设备噪声</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rPr>
                    <w:t>设备自带降噪、距离衰减、安装减振</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设置230m隔音墙</w:t>
                  </w:r>
                </w:p>
              </w:tc>
              <w:tc>
                <w:tcPr>
                  <w:tcW w:w="3070" w:type="dxa"/>
                  <w:noWrap w:val="0"/>
                  <w:vAlign w:val="center"/>
                </w:tcPr>
                <w:p>
                  <w:pPr>
                    <w:pStyle w:val="41"/>
                    <w:keepNext w:val="0"/>
                    <w:keepLines w:val="0"/>
                    <w:pageBreakBefore w:val="0"/>
                    <w:kinsoku/>
                    <w:wordWrap/>
                    <w:overflowPunct/>
                    <w:topLinePunct w:val="0"/>
                    <w:autoSpaceDE/>
                    <w:autoSpaceDN/>
                    <w:bidi w:val="0"/>
                    <w:adjustRightInd/>
                    <w:snapToGrid/>
                    <w:spacing w:line="240" w:lineRule="auto"/>
                    <w:ind w:right="39"/>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厂界执行</w:t>
                  </w:r>
                  <w:r>
                    <w:rPr>
                      <w:rFonts w:hint="default" w:ascii="Times New Roman" w:hAnsi="Times New Roman" w:cs="Times New Roman"/>
                      <w:b w:val="0"/>
                      <w:bCs w:val="0"/>
                      <w:color w:val="auto"/>
                      <w:sz w:val="21"/>
                      <w:szCs w:val="21"/>
                    </w:rPr>
                    <w:t>《工业企业厂界环境噪声排放标准》（GB12348-2008）中</w:t>
                  </w:r>
                  <w:r>
                    <w:rPr>
                      <w:rFonts w:hint="eastAsia"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类标准</w:t>
                  </w:r>
                  <w:r>
                    <w:rPr>
                      <w:rFonts w:hint="eastAsia" w:ascii="Times New Roman" w:hAnsi="Times New Roman" w:cs="Times New Roman"/>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固废</w:t>
                  </w: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sz w:val="21"/>
                      <w:szCs w:val="21"/>
                      <w:lang w:val="en-US" w:eastAsia="zh-CN"/>
                    </w:rPr>
                  </w:pPr>
                  <w:r>
                    <w:rPr>
                      <w:rFonts w:hint="eastAsia"/>
                      <w:b w:val="0"/>
                      <w:bCs w:val="0"/>
                      <w:color w:val="000000"/>
                      <w:sz w:val="21"/>
                      <w:szCs w:val="21"/>
                      <w:lang w:val="en-US" w:eastAsia="zh-CN"/>
                    </w:rPr>
                    <w:t>生活垃圾</w:t>
                  </w:r>
                </w:p>
              </w:tc>
              <w:tc>
                <w:tcPr>
                  <w:tcW w:w="2972" w:type="dxa"/>
                  <w:noWrap w:val="0"/>
                  <w:vAlign w:val="center"/>
                </w:tcPr>
                <w:p>
                  <w:pPr>
                    <w:spacing w:line="240" w:lineRule="exact"/>
                    <w:jc w:val="center"/>
                    <w:rPr>
                      <w:rFonts w:hint="default" w:ascii="Times New Roman" w:hAnsi="Times New Roman" w:cs="Times New Roman"/>
                      <w:b w:val="0"/>
                      <w:bCs w:val="0"/>
                      <w:color w:val="auto"/>
                      <w:sz w:val="21"/>
                      <w:szCs w:val="21"/>
                    </w:rPr>
                  </w:pPr>
                  <w:r>
                    <w:rPr>
                      <w:rFonts w:hint="default" w:ascii="Times New Roman" w:hAnsi="Times New Roman" w:eastAsia="宋体" w:cs="Times New Roman"/>
                      <w:color w:val="auto"/>
                      <w:sz w:val="21"/>
                      <w:szCs w:val="21"/>
                      <w:highlight w:val="none"/>
                    </w:rPr>
                    <w:t>生活垃圾集中分类收集后</w:t>
                  </w:r>
                  <w:r>
                    <w:rPr>
                      <w:rFonts w:hint="default" w:ascii="Times New Roman" w:hAnsi="Times New Roman" w:eastAsia="宋体" w:cs="Times New Roman"/>
                      <w:color w:val="auto"/>
                      <w:sz w:val="21"/>
                      <w:szCs w:val="21"/>
                      <w:highlight w:val="none"/>
                      <w:lang w:eastAsia="zh-CN"/>
                    </w:rPr>
                    <w:t>环卫部门清运处置</w:t>
                  </w:r>
                </w:p>
              </w:tc>
              <w:tc>
                <w:tcPr>
                  <w:tcW w:w="307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r>
                    <w:rPr>
                      <w:rFonts w:hint="default" w:ascii="Times New Roman" w:hAnsi="Times New Roman" w:eastAsia="宋体" w:cs="Times New Roman"/>
                      <w:color w:val="auto"/>
                      <w:sz w:val="21"/>
                      <w:szCs w:val="21"/>
                      <w:lang w:val="en-US" w:eastAsia="zh-CN"/>
                    </w:rPr>
                    <w:t>《一般工业固体废物贮存和填埋污染控制标准》（GB18599-2020）</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《危险废物贮存污染控制标准》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eastAsia="宋体"/>
                      <w:b w:val="0"/>
                      <w:bCs w:val="0"/>
                      <w:sz w:val="21"/>
                      <w:szCs w:val="21"/>
                      <w:lang w:val="en-US" w:eastAsia="zh-CN"/>
                    </w:rPr>
                    <w:t>旱厕粪便</w:t>
                  </w:r>
                </w:p>
              </w:tc>
              <w:tc>
                <w:tcPr>
                  <w:tcW w:w="2972" w:type="dxa"/>
                  <w:noWrap w:val="0"/>
                  <w:vAlign w:val="center"/>
                </w:tcPr>
                <w:p>
                  <w:pPr>
                    <w:spacing w:line="240" w:lineRule="exact"/>
                    <w:jc w:val="center"/>
                    <w:rPr>
                      <w:rFonts w:hint="default" w:ascii="Times New Roman" w:hAnsi="Times New Roman" w:cs="Times New Roman"/>
                      <w:b w:val="0"/>
                      <w:bCs w:val="0"/>
                      <w:color w:val="auto"/>
                      <w:sz w:val="21"/>
                      <w:szCs w:val="21"/>
                      <w:lang w:val="en-US"/>
                    </w:rPr>
                  </w:pPr>
                  <w:r>
                    <w:rPr>
                      <w:rFonts w:hint="eastAsia" w:ascii="Times New Roman" w:hAnsi="Times New Roman" w:eastAsia="宋体" w:cs="Times New Roman"/>
                      <w:bCs/>
                      <w:color w:val="auto"/>
                      <w:kern w:val="0"/>
                      <w:szCs w:val="21"/>
                      <w:highlight w:val="none"/>
                      <w:lang w:val="en-US" w:eastAsia="zh-CN"/>
                    </w:rPr>
                    <w:t>定期委托周围农户清掏，用作农肥</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eastAsia="宋体"/>
                      <w:b w:val="0"/>
                      <w:bCs w:val="0"/>
                      <w:sz w:val="21"/>
                      <w:szCs w:val="21"/>
                      <w:lang w:val="en-US" w:eastAsia="zh-CN"/>
                    </w:rPr>
                  </w:pPr>
                  <w:r>
                    <w:rPr>
                      <w:rFonts w:hint="eastAsia" w:eastAsia="宋体"/>
                      <w:b w:val="0"/>
                      <w:bCs w:val="0"/>
                      <w:sz w:val="21"/>
                      <w:szCs w:val="21"/>
                      <w:lang w:val="en-US" w:eastAsia="zh-CN"/>
                    </w:rPr>
                    <w:t>废泥土</w:t>
                  </w:r>
                </w:p>
              </w:tc>
              <w:tc>
                <w:tcPr>
                  <w:tcW w:w="2972" w:type="dxa"/>
                  <w:noWrap w:val="0"/>
                  <w:vAlign w:val="center"/>
                </w:tcPr>
                <w:p>
                  <w:pPr>
                    <w:spacing w:line="240" w:lineRule="exact"/>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eastAsia="宋体"/>
                      <w:b w:val="0"/>
                      <w:bCs w:val="0"/>
                      <w:sz w:val="21"/>
                      <w:szCs w:val="21"/>
                      <w:lang w:val="en-US" w:eastAsia="zh-CN"/>
                    </w:rPr>
                  </w:pPr>
                  <w:r>
                    <w:rPr>
                      <w:rFonts w:hint="eastAsia" w:eastAsia="宋体"/>
                      <w:b w:val="0"/>
                      <w:bCs w:val="0"/>
                      <w:sz w:val="21"/>
                      <w:szCs w:val="21"/>
                      <w:lang w:val="en-US" w:eastAsia="zh-CN"/>
                    </w:rPr>
                    <w:t>沉淀池池渣</w:t>
                  </w:r>
                </w:p>
              </w:tc>
              <w:tc>
                <w:tcPr>
                  <w:tcW w:w="2972" w:type="dxa"/>
                  <w:noWrap w:val="0"/>
                  <w:vAlign w:val="center"/>
                </w:tcPr>
                <w:p>
                  <w:pPr>
                    <w:spacing w:line="240" w:lineRule="exact"/>
                    <w:jc w:val="center"/>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定期运至弃渣场</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c>
                <w:tcPr>
                  <w:tcW w:w="1661" w:type="dxa"/>
                  <w:noWrap w:val="0"/>
                  <w:vAlign w:val="center"/>
                </w:tcPr>
                <w:p>
                  <w:pPr>
                    <w:pStyle w:val="2"/>
                    <w:keepLines w:val="0"/>
                    <w:pageBreakBefore w:val="0"/>
                    <w:widowControl w:val="0"/>
                    <w:kinsoku/>
                    <w:wordWrap/>
                    <w:topLinePunct w:val="0"/>
                    <w:autoSpaceDE/>
                    <w:autoSpaceDN/>
                    <w:bidi w:val="0"/>
                    <w:adjustRightInd w:val="0"/>
                    <w:snapToGrid w:val="0"/>
                    <w:spacing w:before="0"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废机油、废机油桶</w:t>
                  </w:r>
                </w:p>
              </w:tc>
              <w:tc>
                <w:tcPr>
                  <w:tcW w:w="29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1"/>
                      <w:sz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按危险废物贮存要求分区分类暂存在危险废物暂存间，定期委托有资质的单位清运处置</w:t>
                  </w:r>
                </w:p>
              </w:tc>
              <w:tc>
                <w:tcPr>
                  <w:tcW w:w="30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rPr>
                  </w:pPr>
                </w:p>
              </w:tc>
            </w:tr>
          </w:tbl>
          <w:p>
            <w:pPr>
              <w:pStyle w:val="87"/>
              <w:keepNext w:val="0"/>
              <w:keepLines w:val="0"/>
              <w:pageBreakBefore w:val="0"/>
              <w:widowControl w:val="0"/>
              <w:kinsoku/>
              <w:wordWrap/>
              <w:overflowPunct/>
              <w:topLinePunct w:val="0"/>
              <w:autoSpaceDE/>
              <w:autoSpaceDN/>
              <w:bidi w:val="0"/>
              <w:adjustRightInd/>
              <w:snapToGrid/>
              <w:spacing w:before="0" w:beforeLines="0" w:after="0" w:afterLines="0"/>
              <w:ind w:firstLine="482" w:firstLineChars="200"/>
              <w:jc w:val="both"/>
              <w:textAlignment w:val="auto"/>
              <w:rPr>
                <w:rFonts w:hint="eastAsia" w:eastAsiaTheme="minorEastAsia"/>
                <w:b/>
                <w:bCs/>
                <w:lang w:eastAsia="zh-CN"/>
              </w:rPr>
            </w:pPr>
            <w:r>
              <w:rPr>
                <w:rFonts w:hint="eastAsia"/>
                <w:b/>
                <w:bCs/>
                <w:lang w:val="en-US" w:eastAsia="zh-CN"/>
              </w:rPr>
              <w:t>十、</w:t>
            </w:r>
            <w:r>
              <w:rPr>
                <w:rFonts w:hint="eastAsia"/>
                <w:b/>
                <w:bCs/>
              </w:rPr>
              <w:t>项目结束后生态恢复</w:t>
            </w:r>
            <w:r>
              <w:rPr>
                <w:rFonts w:hint="eastAsia"/>
                <w:b/>
                <w:bCs/>
                <w:lang w:val="en-US" w:eastAsia="zh-CN"/>
              </w:rPr>
              <w:t>工作</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本项目为云龙至永平高速公路配套工程，云龙至永平高速公路建成后，需要本项目也结束使命，因此需要业主拟拆除相关设备。按照云永高速公路建设水保和土地复垦等要求，对场地覆土恢复，交由当地政府。</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1、土地修复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1.1地形重塑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因碎石加工而改变的场地地形进行评估。如果存在挖掘或填方区域，要根据场地规划和周边地形，使用推土机、平地机等设备将土地恢复到合适的坡度和高程。例如，对于有积水问题的低洼处，要进行填方处理，保证排水顺畅。对于因设备安装、物料堆放等形成的硬地，使用挖掘机等设备破除硬化层，恢复土地的可耕性或自然状态，使土壤能够重新植被。</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水资源与水环境治理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.1选择适宜植被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如果加工场附近有水源，如河流、湖泊或地下水，要检查是否受到污染。对于受到污染的水源，采取相应的治理措施，如设置截污沟，防止污水进一步扩散；对于污染较轻的水体，可以通过生物修复等方法，投放一些具有净化水质功能的水生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.2排水系统修复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检查和修复场地的排水系统，包括排水沟、排水管等。清理排水管道内的碎石、杂物等堵塞物，修复破损的沟渠，保证雨水和加工场废水能够正常排放，避免场地积水和对周边环境造成水害。</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周边环境清理与协调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.1周边区域清理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清理加工场周边因生产活动散落的碎石、粉尘等污染物。对周边道路上的碎石进行清扫，对建筑物表面的粉尘进行清洗，恢复周边环境的整洁。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.2与周边居民和单位协调</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lang w:val="en-US" w:eastAsia="zh-CN"/>
              </w:rPr>
              <w:t>与周边的居民、企业等沟通，了解他们对场地恢复过程的意见和建议。对于因加工场生产造成的环境问题向他们道歉，并告知场地恢复计划和措施，争取他们的理解和支持，促进和谐的社区关系。</w:t>
            </w:r>
          </w:p>
          <w:p>
            <w:pPr>
              <w:spacing w:line="360" w:lineRule="auto"/>
              <w:ind w:firstLine="480" w:firstLineChars="200"/>
              <w:rPr>
                <w:rFonts w:hint="default" w:ascii="Times New Roman" w:hAnsi="Times New Roman" w:eastAsia="宋体" w:cs="Times New Roman"/>
                <w:color w:val="auto"/>
                <w:sz w:val="24"/>
              </w:rPr>
            </w:pPr>
          </w:p>
          <w:p>
            <w:pPr>
              <w:spacing w:line="360" w:lineRule="auto"/>
              <w:ind w:firstLine="480" w:firstLineChars="200"/>
              <w:rPr>
                <w:rFonts w:hint="default" w:ascii="Times New Roman" w:hAnsi="Times New Roman" w:eastAsia="宋体" w:cs="Times New Roman"/>
                <w:color w:val="auto"/>
                <w:sz w:val="24"/>
              </w:rPr>
            </w:pPr>
          </w:p>
          <w:p>
            <w:pPr>
              <w:bidi w:val="0"/>
              <w:rPr>
                <w:rFonts w:hint="default" w:ascii="Times New Roman" w:hAnsi="Times New Roman" w:eastAsia="宋体" w:cs="Times New Roman"/>
                <w:color w:val="auto"/>
                <w:vertAlign w:val="baseline"/>
              </w:rPr>
            </w:pPr>
          </w:p>
        </w:tc>
      </w:tr>
    </w:tbl>
    <w:p>
      <w:pPr>
        <w:bidi w:val="0"/>
        <w:rPr>
          <w:color w:val="auto"/>
        </w:rPr>
        <w:sectPr>
          <w:pgSz w:w="11906" w:h="16838"/>
          <w:pgMar w:top="646" w:right="1417" w:bottom="646"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ascii="Times New Roman" w:hAnsi="Times New Roman" w:eastAsia="黑体" w:cs="Times New Roman"/>
          <w:color w:val="auto"/>
          <w:sz w:val="30"/>
          <w:szCs w:val="30"/>
        </w:rPr>
      </w:pPr>
    </w:p>
    <w:p>
      <w:pPr>
        <w:pStyle w:val="2"/>
        <w:spacing w:before="62" w:beforeLines="20" w:after="31" w:afterLines="10" w:line="360" w:lineRule="auto"/>
        <w:rPr>
          <w:rFonts w:ascii="Times New Roman" w:hAnsi="Times New Roman" w:eastAsia="黑体" w:cs="Times New Roman"/>
          <w:b w:val="0"/>
          <w:color w:val="auto"/>
          <w:sz w:val="30"/>
          <w:szCs w:val="30"/>
        </w:rPr>
      </w:pPr>
      <w:r>
        <w:rPr>
          <w:rFonts w:ascii="Times New Roman" w:hAnsi="Times New Roman" w:eastAsia="黑体" w:cs="Times New Roman"/>
          <w:b w:val="0"/>
          <w:color w:val="auto"/>
          <w:sz w:val="30"/>
          <w:szCs w:val="30"/>
        </w:rPr>
        <w:t>五、</w:t>
      </w:r>
      <w:bookmarkStart w:id="47" w:name="_Hlk54167917"/>
      <w:r>
        <w:rPr>
          <w:rFonts w:ascii="Times New Roman" w:hAnsi="Times New Roman" w:eastAsia="黑体" w:cs="Times New Roman"/>
          <w:b w:val="0"/>
          <w:color w:val="auto"/>
          <w:sz w:val="30"/>
          <w:szCs w:val="30"/>
        </w:rPr>
        <w:t>环境保护措施监督检查清单</w:t>
      </w:r>
      <w:bookmarkEnd w:id="11"/>
      <w:bookmarkEnd w:id="47"/>
    </w:p>
    <w:tbl>
      <w:tblPr>
        <w:tblStyle w:val="26"/>
        <w:tblW w:w="92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68"/>
        <w:gridCol w:w="1417"/>
        <w:gridCol w:w="3047"/>
        <w:gridCol w:w="2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tcBorders>
              <w:tl2br w:val="single" w:color="auto" w:sz="4" w:space="0"/>
            </w:tcBorders>
            <w:vAlign w:val="center"/>
          </w:tcPr>
          <w:p>
            <w:pPr>
              <w:pageBreakBefore w:val="0"/>
              <w:kinsoku/>
              <w:wordWrap/>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编号、名称</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/污染源</w:t>
            </w:r>
          </w:p>
        </w:tc>
        <w:tc>
          <w:tcPr>
            <w:tcW w:w="1417"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3047"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2154"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895" w:type="dxa"/>
            <w:vMerge w:val="restart"/>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highlight w:val="none"/>
                <w:lang w:val="en-US" w:eastAsia="zh-CN"/>
              </w:rPr>
              <w:t>破碎、筛分粉尘</w:t>
            </w:r>
          </w:p>
        </w:tc>
        <w:tc>
          <w:tcPr>
            <w:tcW w:w="1417" w:type="dxa"/>
            <w:vMerge w:val="restart"/>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颗粒物</w:t>
            </w:r>
          </w:p>
        </w:tc>
        <w:tc>
          <w:tcPr>
            <w:tcW w:w="3047" w:type="dxa"/>
            <w:vAlign w:val="center"/>
          </w:tcPr>
          <w:p>
            <w:pPr>
              <w:pageBreakBefore w:val="0"/>
              <w:kinsoku/>
              <w:wordWrap/>
              <w:topLinePunct w:val="0"/>
              <w:autoSpaceDE/>
              <w:autoSpaceDN/>
              <w:bidi w:val="0"/>
              <w:adjustRightInd/>
              <w:snapToGrid/>
              <w:spacing w:line="240" w:lineRule="auto"/>
              <w:jc w:val="both"/>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highlight w:val="none"/>
                <w:vertAlign w:val="baseline"/>
                <w:lang w:val="en-US" w:eastAsia="zh-CN"/>
              </w:rPr>
              <w:t>设备置于</w:t>
            </w:r>
            <w:r>
              <w:rPr>
                <w:rFonts w:hint="eastAsia" w:ascii="Times New Roman" w:hAnsi="Times New Roman" w:eastAsia="宋体" w:cs="Times New Roman"/>
                <w:color w:val="auto"/>
                <w:sz w:val="21"/>
                <w:szCs w:val="21"/>
                <w:highlight w:val="none"/>
                <w:vertAlign w:val="baseline"/>
                <w:lang w:val="en-US" w:eastAsia="zh-CN"/>
              </w:rPr>
              <w:t>封闭</w:t>
            </w:r>
            <w:r>
              <w:rPr>
                <w:rFonts w:hint="default" w:ascii="Times New Roman" w:hAnsi="Times New Roman" w:eastAsia="宋体" w:cs="Times New Roman"/>
                <w:color w:val="auto"/>
                <w:sz w:val="21"/>
                <w:szCs w:val="21"/>
                <w:highlight w:val="none"/>
                <w:vertAlign w:val="baseline"/>
                <w:lang w:val="en-US" w:eastAsia="zh-CN"/>
              </w:rPr>
              <w:t>厂房内，</w:t>
            </w:r>
            <w:r>
              <w:rPr>
                <w:rFonts w:hint="eastAsia" w:ascii="Times New Roman" w:hAnsi="Times New Roman" w:eastAsia="宋体" w:cs="Times New Roman"/>
                <w:color w:val="auto"/>
                <w:sz w:val="21"/>
                <w:szCs w:val="21"/>
                <w:highlight w:val="none"/>
                <w:vertAlign w:val="baseline"/>
                <w:lang w:val="en-US" w:eastAsia="zh-CN"/>
              </w:rPr>
              <w:t>喷淋+布袋除尘</w:t>
            </w:r>
          </w:p>
        </w:tc>
        <w:tc>
          <w:tcPr>
            <w:tcW w:w="21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pacing w:val="0"/>
                <w:w w:val="100"/>
                <w:sz w:val="21"/>
                <w:highlight w:val="none"/>
              </w:rPr>
              <w:t>《大气污染物综合排放标准》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GB16297-1996</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原料及成品堆场</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b w:val="0"/>
                <w:bCs w:val="0"/>
                <w:color w:val="auto"/>
                <w:sz w:val="21"/>
                <w:szCs w:val="21"/>
                <w:vertAlign w:val="baseline"/>
                <w:lang w:val="en-US" w:eastAsia="zh-CN"/>
              </w:rPr>
              <w:t>设置洒水喷淋</w:t>
            </w:r>
            <w:r>
              <w:rPr>
                <w:rFonts w:hint="eastAsia" w:ascii="Times New Roman" w:hAnsi="Times New Roman" w:eastAsia="宋体" w:cs="Times New Roman"/>
                <w:b w:val="0"/>
                <w:bCs w:val="0"/>
                <w:color w:val="auto"/>
                <w:sz w:val="21"/>
                <w:szCs w:val="21"/>
                <w:vertAlign w:val="baseline"/>
                <w:lang w:val="en-US" w:eastAsia="zh-CN"/>
              </w:rPr>
              <w:t>+厂房阻隔</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vertAlign w:val="baseline"/>
                <w:lang w:val="en-US" w:eastAsia="zh-CN"/>
              </w:rPr>
              <w:t>进料粉尘</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b w:val="0"/>
                <w:bCs w:val="0"/>
                <w:color w:val="auto"/>
                <w:sz w:val="21"/>
                <w:szCs w:val="21"/>
                <w:vertAlign w:val="baseline"/>
                <w:lang w:val="en-US" w:eastAsia="zh-CN"/>
              </w:rPr>
              <w:t>设置洒水喷淋</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vertAlign w:val="baseline"/>
                <w:lang w:val="en-US" w:eastAsia="zh-CN"/>
              </w:rPr>
              <w:t>装卸扬尘</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b w:val="0"/>
                <w:bCs w:val="0"/>
                <w:color w:val="auto"/>
                <w:sz w:val="21"/>
                <w:szCs w:val="21"/>
                <w:vertAlign w:val="baseline"/>
                <w:lang w:val="en-US" w:eastAsia="zh-CN"/>
              </w:rPr>
              <w:t>设置洒水喷淋</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道路运输扬尘</w:t>
            </w:r>
          </w:p>
        </w:tc>
        <w:tc>
          <w:tcPr>
            <w:tcW w:w="1417" w:type="dxa"/>
            <w:vMerge w:val="continue"/>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center"/>
              <w:textAlignment w:val="auto"/>
              <w:rPr>
                <w:rFonts w:hint="default" w:ascii="Times New Roman" w:hAnsi="Times New Roman" w:eastAsia="宋体" w:cs="Times New Roman"/>
                <w:color w:val="auto"/>
                <w:sz w:val="21"/>
                <w:szCs w:val="21"/>
                <w:lang w:eastAsia="zh-CN"/>
              </w:rPr>
            </w:pP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lang w:val="en-US" w:eastAsia="zh-CN" w:bidi="zh-CN"/>
              </w:rPr>
              <w:t>定时洒水降尘</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restart"/>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厨房废水经油水分离器（≥0.3m³）隔油处理后</w:t>
            </w:r>
            <w:r>
              <w:rPr>
                <w:rFonts w:hint="eastAsia" w:ascii="Times New Roman" w:hAnsi="Times New Roman" w:cs="Times New Roman"/>
                <w:sz w:val="21"/>
                <w:szCs w:val="21"/>
                <w:lang w:eastAsia="zh-CN"/>
              </w:rPr>
              <w:t>连同生活清洗废水</w:t>
            </w:r>
            <w:r>
              <w:rPr>
                <w:rFonts w:hint="default" w:ascii="Times New Roman" w:hAnsi="Times New Roman" w:cs="Times New Roman"/>
                <w:sz w:val="21"/>
                <w:szCs w:val="21"/>
              </w:rPr>
              <w:t>一并进入</w:t>
            </w:r>
            <w:r>
              <w:rPr>
                <w:rFonts w:hint="eastAsia" w:ascii="Times New Roman" w:hAnsi="Times New Roman" w:cs="Times New Roman"/>
                <w:sz w:val="21"/>
                <w:szCs w:val="21"/>
                <w:lang w:eastAsia="zh-CN"/>
              </w:rPr>
              <w:t>生活污水收集池（1m</w:t>
            </w:r>
            <w:r>
              <w:rPr>
                <w:rFonts w:hint="default" w:ascii="Times New Roman" w:hAnsi="Times New Roman" w:cs="Times New Roman"/>
                <w:sz w:val="21"/>
                <w:szCs w:val="21"/>
              </w:rPr>
              <w:t>³），</w:t>
            </w:r>
            <w:r>
              <w:rPr>
                <w:rFonts w:hint="eastAsia" w:ascii="Times New Roman" w:hAnsi="Times New Roman" w:cs="Times New Roman"/>
                <w:sz w:val="21"/>
                <w:szCs w:val="21"/>
                <w:lang w:eastAsia="zh-CN"/>
              </w:rPr>
              <w:t>经收集池沉淀后用于厂区洒水降尘</w:t>
            </w:r>
            <w:r>
              <w:rPr>
                <w:rFonts w:hint="default" w:ascii="Times New Roman" w:hAnsi="Times New Roman" w:cs="Times New Roman"/>
                <w:sz w:val="21"/>
                <w:szCs w:val="21"/>
              </w:rPr>
              <w:t>，不外排；项目配套设置</w:t>
            </w:r>
            <w:r>
              <w:rPr>
                <w:rFonts w:hint="default" w:ascii="Times New Roman" w:hAnsi="Times New Roman" w:cs="Times New Roman"/>
                <w:sz w:val="21"/>
                <w:szCs w:val="21"/>
                <w:lang w:val="en-US" w:eastAsia="zh-CN"/>
              </w:rPr>
              <w:t>旱厕</w:t>
            </w:r>
            <w:r>
              <w:rPr>
                <w:rFonts w:hint="default" w:ascii="Times New Roman" w:hAnsi="Times New Roman" w:cs="Times New Roman"/>
                <w:sz w:val="21"/>
                <w:szCs w:val="21"/>
              </w:rPr>
              <w:t>（3m³），定期清掏，用于周边农田施肥</w:t>
            </w:r>
          </w:p>
        </w:tc>
        <w:tc>
          <w:tcPr>
            <w:tcW w:w="21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洗砂废水</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生产废水</w:t>
            </w:r>
          </w:p>
        </w:tc>
        <w:tc>
          <w:tcPr>
            <w:tcW w:w="3047"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设置三级沉淀池处理后循环使用</w:t>
            </w: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初期雨水</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SS</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在场地设置初期雨水收集池（容积为</w:t>
            </w:r>
            <w:r>
              <w:rPr>
                <w:rFonts w:hint="eastAsia" w:ascii="Times New Roman" w:hAnsi="Times New Roman" w:eastAsia="宋体" w:cs="Times New Roman"/>
                <w:color w:val="auto"/>
                <w:kern w:val="2"/>
                <w:sz w:val="21"/>
                <w:szCs w:val="21"/>
                <w:highlight w:val="none"/>
                <w:lang w:val="en-US" w:eastAsia="zh-CN" w:bidi="ar-SA"/>
              </w:rPr>
              <w:t>50</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），晴天用于厂区洒水降尘</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95"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768"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生产设备</w:t>
            </w:r>
          </w:p>
        </w:tc>
        <w:tc>
          <w:tcPr>
            <w:tcW w:w="1417"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b w:val="0"/>
                <w:bCs/>
                <w:color w:val="auto"/>
                <w:sz w:val="21"/>
                <w:szCs w:val="21"/>
                <w:lang w:val="en-US" w:eastAsia="zh-CN"/>
              </w:rPr>
              <w:t>厂房</w:t>
            </w:r>
            <w:r>
              <w:rPr>
                <w:rFonts w:hint="default" w:ascii="Times New Roman" w:hAnsi="Times New Roman" w:eastAsia="宋体" w:cs="Times New Roman"/>
                <w:b w:val="0"/>
                <w:bCs/>
                <w:color w:val="auto"/>
                <w:sz w:val="21"/>
                <w:szCs w:val="21"/>
                <w:lang w:val="en-US" w:eastAsia="zh-CN"/>
              </w:rPr>
              <w:t>隔声、基础减震、</w:t>
            </w:r>
            <w:r>
              <w:rPr>
                <w:rFonts w:hint="eastAsia" w:ascii="Times New Roman" w:hAnsi="Times New Roman" w:eastAsia="宋体" w:cs="Times New Roman"/>
                <w:b w:val="0"/>
                <w:bCs/>
                <w:color w:val="auto"/>
                <w:sz w:val="21"/>
                <w:szCs w:val="21"/>
                <w:lang w:val="en-US" w:eastAsia="zh-CN"/>
              </w:rPr>
              <w:t>隔音墙</w:t>
            </w:r>
          </w:p>
        </w:tc>
        <w:tc>
          <w:tcPr>
            <w:tcW w:w="215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厂界执行《工业企业厂界环境噪声排放标准》（GB12348-2008）2类标准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895" w:type="dxa"/>
            <w:vMerge w:val="restart"/>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17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lang w:eastAsia="zh-CN"/>
              </w:rPr>
              <w:t>生活垃圾</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color w:val="auto"/>
                <w:sz w:val="21"/>
                <w:szCs w:val="21"/>
                <w:lang w:eastAsia="zh-CN"/>
              </w:rPr>
              <w:t>设置垃圾桶，交由环卫部门清运</w:t>
            </w:r>
          </w:p>
        </w:tc>
        <w:tc>
          <w:tcPr>
            <w:tcW w:w="215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《一般工业固体废物贮存和填埋污染控制标准》（GB18599-2020）</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《危险废物贮存污染控制标准》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pacing w:val="0"/>
                <w:w w:val="100"/>
                <w:position w:val="0"/>
                <w:sz w:val="21"/>
                <w:szCs w:val="21"/>
                <w:highlight w:val="none"/>
                <w:lang w:val="en-US" w:eastAsia="zh-CN"/>
              </w:rPr>
              <w:t>旱厕粪便</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定期委托周围农户清掏，用作农肥</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沉淀池池渣</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宋体" w:cs="Times New Roman"/>
                <w:color w:val="auto"/>
                <w:spacing w:val="0"/>
                <w:w w:val="100"/>
                <w:position w:val="0"/>
                <w:sz w:val="21"/>
                <w:szCs w:val="21"/>
                <w:highlight w:val="none"/>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运至弃渣场</w:t>
            </w:r>
          </w:p>
        </w:tc>
        <w:tc>
          <w:tcPr>
            <w:tcW w:w="2154"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0"/>
                <w:w w:val="100"/>
                <w:position w:val="0"/>
                <w:sz w:val="21"/>
                <w:szCs w:val="21"/>
                <w:highlight w:val="none"/>
                <w:lang w:val="en-US" w:eastAsia="zh-CN"/>
              </w:rPr>
              <w:t>废泥土</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pacing w:val="0"/>
                <w:w w:val="100"/>
                <w:position w:val="0"/>
                <w:sz w:val="21"/>
                <w:szCs w:val="21"/>
                <w:highlight w:val="none"/>
                <w:lang w:val="en-US" w:eastAsia="zh-CN"/>
              </w:rPr>
              <w:t>运至弃渣场</w:t>
            </w: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eastAsia="zh-CN"/>
              </w:rPr>
              <w:t>废机油</w:t>
            </w:r>
          </w:p>
        </w:tc>
        <w:tc>
          <w:tcPr>
            <w:tcW w:w="30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highlight w:val="none"/>
              </w:rPr>
              <w:t>收集后分区暂存于危险废物暂存间，委托有资质单位处置</w:t>
            </w: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5" w:type="dxa"/>
            <w:vMerge w:val="continue"/>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7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color w:val="auto"/>
                <w:sz w:val="21"/>
                <w:szCs w:val="21"/>
                <w:lang w:eastAsia="zh-CN"/>
              </w:rPr>
            </w:pPr>
            <w:r>
              <w:rPr>
                <w:rFonts w:hint="eastAsia"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eastAsia="zh-CN"/>
              </w:rPr>
              <w:t>桶</w:t>
            </w:r>
          </w:p>
        </w:tc>
        <w:tc>
          <w:tcPr>
            <w:tcW w:w="30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color w:val="auto"/>
                <w:sz w:val="21"/>
                <w:szCs w:val="21"/>
                <w:lang w:eastAsia="zh-CN"/>
              </w:rPr>
            </w:pPr>
          </w:p>
        </w:tc>
        <w:tc>
          <w:tcPr>
            <w:tcW w:w="21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9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8386" w:type="dxa"/>
            <w:gridSpan w:val="4"/>
            <w:vAlign w:val="center"/>
          </w:tcPr>
          <w:p>
            <w:pPr>
              <w:jc w:val="both"/>
              <w:rPr>
                <w:rFonts w:hint="default" w:ascii="Times New Roman" w:hAnsi="Times New Roman" w:eastAsia="宋体" w:cs="Times New Roman"/>
                <w:color w:val="auto"/>
              </w:rPr>
            </w:pPr>
            <w:r>
              <w:rPr>
                <w:rFonts w:hint="default" w:ascii="Times New Roman" w:hAnsi="Times New Roman" w:eastAsia="宋体" w:cs="Times New Roman"/>
                <w:color w:val="auto"/>
              </w:rPr>
              <w:t>按照分区防渗的原则，对项目区进行防渗处理，在</w:t>
            </w:r>
            <w:r>
              <w:rPr>
                <w:rFonts w:hint="default" w:ascii="Times New Roman" w:hAnsi="Times New Roman" w:eastAsia="宋体" w:cs="Times New Roman"/>
                <w:color w:val="auto"/>
                <w:lang w:val="en-US" w:eastAsia="zh-CN"/>
              </w:rPr>
              <w:t>危废暂存间</w:t>
            </w:r>
            <w:r>
              <w:rPr>
                <w:rFonts w:hint="default" w:ascii="Times New Roman" w:hAnsi="Times New Roman" w:eastAsia="宋体" w:cs="Times New Roman"/>
                <w:color w:val="auto"/>
              </w:rPr>
              <w:t>采取重点防渗，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vertAlign w:val="superscript"/>
              </w:rPr>
              <w:t>-7</w:t>
            </w:r>
            <w:r>
              <w:rPr>
                <w:rFonts w:hint="default" w:ascii="Times New Roman" w:hAnsi="Times New Roman" w:eastAsia="宋体" w:cs="Times New Roman"/>
                <w:color w:val="auto"/>
              </w:rPr>
              <w:t>cm/s），或至少2mm厚高密度聚乙烯膜等人工防渗材料（渗透系数不大于10</w:t>
            </w:r>
            <w:r>
              <w:rPr>
                <w:rFonts w:hint="default" w:ascii="Times New Roman" w:hAnsi="Times New Roman" w:eastAsia="宋体" w:cs="Times New Roman"/>
                <w:color w:val="auto"/>
                <w:vertAlign w:val="superscript"/>
              </w:rPr>
              <w:t>-10</w:t>
            </w:r>
            <w:r>
              <w:rPr>
                <w:rFonts w:hint="default" w:ascii="Times New Roman" w:hAnsi="Times New Roman" w:eastAsia="宋体" w:cs="Times New Roman"/>
                <w:color w:val="auto"/>
              </w:rPr>
              <w:t>cm/s，</w:t>
            </w:r>
            <w:r>
              <w:rPr>
                <w:rFonts w:hint="default" w:ascii="Times New Roman" w:hAnsi="Times New Roman" w:eastAsia="宋体" w:cs="Times New Roman"/>
                <w:color w:val="auto"/>
                <w:lang w:eastAsia="zh-CN"/>
              </w:rPr>
              <w:t>其他构筑物进行简单防渗，防渗技术要求为地面硬化。</w:t>
            </w:r>
            <w:r>
              <w:rPr>
                <w:rFonts w:hint="default" w:ascii="Times New Roman" w:hAnsi="Times New Roman" w:eastAsia="宋体" w:cs="Times New Roman"/>
                <w:color w:val="auto"/>
              </w:rPr>
              <w:t>阻断各污染物污染地下水、土壤的途径。加强管理，营运期加强对设备的维护、检修，杜绝</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跑、冒、滴、漏</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现象发生，同时定期排查，及时发现事故隐患，采取有效的应对措施以防事故的发生。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95"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8386" w:type="dxa"/>
            <w:gridSpan w:val="4"/>
            <w:vAlign w:val="center"/>
          </w:tcPr>
          <w:p>
            <w:pPr>
              <w:pageBreakBefore w:val="0"/>
              <w:kinsoku/>
              <w:wordWrap/>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土地复垦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环境风险防范措施</w:t>
            </w:r>
          </w:p>
        </w:tc>
        <w:tc>
          <w:tcPr>
            <w:tcW w:w="83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操作工人上岗前进行必要的专业技术培训，并制定详细的操作规程。工作工人进行日常的设备维护、保养和检修时，需按照安全规程操作，防止意外事件的发生。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895" w:type="dxa"/>
            <w:vAlign w:val="center"/>
          </w:tcPr>
          <w:p>
            <w:pPr>
              <w:pageBreakBefore w:val="0"/>
              <w:kinsoku/>
              <w:wordWrap/>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其他环境管理要求</w:t>
            </w:r>
          </w:p>
        </w:tc>
        <w:tc>
          <w:tcPr>
            <w:tcW w:w="8386" w:type="dxa"/>
            <w:gridSpan w:val="4"/>
            <w:vAlign w:val="center"/>
          </w:tcPr>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1、环境管理</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建立环境保护管理机构，根据工程环境影响评价中提出的施工期和营运期环境保护措施，落实环境保护经费，实施环境保护对策措施；协调政府环境管理与工程环境管理间的关系，具体管理内容如下：</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（1）项目在建设和运行中应认真执行国家、地方环境保护的有关规定和要求。按照环境保护局的要求及时反映发生的环保问题，随时接受各级环保部门的检查监督。</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（2）项目建成运行后，建设单位应自主组织相关人员进行环保验收，并编制《突发事故环境风险应急预案》报送环保主管部门进行备案。</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（3）加强管理，使污染物尽量消除在源头。</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（4）加强风险事故防范机制，避免污染性的突发事件发生。</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（5）加强宣传教育，增强施工及管理人员的环保意识。</w:t>
            </w:r>
          </w:p>
          <w:p>
            <w:pPr>
              <w:pStyle w:val="11"/>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（6</w:t>
            </w:r>
            <w:r>
              <w:rPr>
                <w:rFonts w:hint="default" w:ascii="Times New Roman" w:hAnsi="Times New Roman" w:eastAsia="宋体" w:cs="Times New Roman"/>
                <w:color w:val="auto"/>
                <w:spacing w:val="0"/>
                <w:kern w:val="21"/>
                <w:sz w:val="21"/>
                <w:szCs w:val="21"/>
                <w:lang w:eastAsia="zh-CN"/>
              </w:rPr>
              <w:t>）</w:t>
            </w:r>
            <w:r>
              <w:rPr>
                <w:rFonts w:hint="default" w:ascii="Times New Roman" w:hAnsi="Times New Roman" w:eastAsia="宋体" w:cs="Times New Roman"/>
                <w:color w:val="auto"/>
                <w:spacing w:val="0"/>
                <w:kern w:val="21"/>
                <w:sz w:val="21"/>
                <w:szCs w:val="21"/>
              </w:rPr>
              <w:t>危废暂存间严格按照</w:t>
            </w:r>
            <w:r>
              <w:rPr>
                <w:rFonts w:hint="default" w:ascii="Times New Roman" w:hAnsi="Times New Roman" w:eastAsia="宋体" w:cs="Times New Roman"/>
                <w:color w:val="auto"/>
                <w:spacing w:val="0"/>
                <w:kern w:val="21"/>
                <w:sz w:val="21"/>
                <w:szCs w:val="21"/>
                <w:lang w:eastAsia="zh-CN"/>
              </w:rPr>
              <w:t>《</w:t>
            </w:r>
            <w:r>
              <w:rPr>
                <w:rFonts w:hint="default" w:ascii="Times New Roman" w:hAnsi="Times New Roman" w:eastAsia="宋体" w:cs="Times New Roman"/>
                <w:color w:val="auto"/>
                <w:spacing w:val="0"/>
                <w:kern w:val="21"/>
                <w:sz w:val="21"/>
                <w:szCs w:val="21"/>
              </w:rPr>
              <w:t>危险废物贮存污染控制标准》（GB18597-2023）要求进行建设，地面和裙角进行防渗设计，防渗系数≤1.0×10-</w:t>
            </w:r>
            <w:r>
              <w:rPr>
                <w:rFonts w:hint="default" w:ascii="Times New Roman" w:hAnsi="Times New Roman" w:eastAsia="宋体" w:cs="Times New Roman"/>
                <w:color w:val="auto"/>
                <w:spacing w:val="0"/>
                <w:kern w:val="21"/>
                <w:sz w:val="21"/>
                <w:szCs w:val="21"/>
                <w:vertAlign w:val="superscript"/>
              </w:rPr>
              <w:t>10</w:t>
            </w:r>
            <w:r>
              <w:rPr>
                <w:rFonts w:hint="default" w:ascii="Times New Roman" w:hAnsi="Times New Roman" w:eastAsia="宋体" w:cs="Times New Roman"/>
                <w:color w:val="auto"/>
                <w:spacing w:val="0"/>
                <w:kern w:val="21"/>
                <w:sz w:val="21"/>
                <w:szCs w:val="21"/>
              </w:rPr>
              <w:t>cm/s，地面向内形成一定的坡度，并设置围堰或在门口设置门槛，防止废机油泄漏后进入外环境。</w:t>
            </w:r>
          </w:p>
          <w:p>
            <w:pPr>
              <w:pStyle w:val="11"/>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、建设项目竣工环境保护验收</w:t>
            </w:r>
          </w:p>
          <w:p>
            <w:pPr>
              <w:pStyle w:val="11"/>
              <w:pageBreakBefore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本项目环保设施竣工验收由建设单位自组织实施验收。</w:t>
            </w:r>
          </w:p>
          <w:p>
            <w:pPr>
              <w:pStyle w:val="11"/>
              <w:pageBreakBefore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建设单位是建设项目竣工环境保护验收的责任主体，应当按照《建设项目竣工环境保护验收暂行办法》规定的程序和标准，组织对配套</w:t>
            </w:r>
            <w:bookmarkStart w:id="48" w:name="六、结论"/>
            <w:bookmarkEnd w:id="48"/>
            <w:r>
              <w:rPr>
                <w:rFonts w:hint="default" w:ascii="Times New Roman" w:hAnsi="Times New Roman" w:eastAsia="宋体" w:cs="Times New Roman"/>
                <w:color w:val="auto"/>
                <w:sz w:val="21"/>
                <w:szCs w:val="21"/>
              </w:rPr>
              <w:t>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3"/>
              <w:pageBreakBefore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、排污许可</w:t>
            </w:r>
          </w:p>
          <w:p>
            <w:pPr>
              <w:pStyle w:val="11"/>
              <w:keepNext w:val="0"/>
              <w:keepLines w:val="0"/>
              <w:pageBreakBefore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根据《关于做好环境影响评价制度与排污许可制衔接相关工作的</w:t>
            </w:r>
            <w:r>
              <w:rPr>
                <w:rFonts w:hint="default" w:ascii="Times New Roman" w:hAnsi="Times New Roman" w:eastAsia="宋体" w:cs="Times New Roman"/>
                <w:color w:val="auto"/>
                <w:spacing w:val="-13"/>
                <w:sz w:val="21"/>
                <w:szCs w:val="21"/>
              </w:rPr>
              <w:t>通知》</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pacing w:val="-4"/>
                <w:sz w:val="21"/>
                <w:szCs w:val="21"/>
              </w:rPr>
              <w:t>环办环评〔</w:t>
            </w:r>
            <w:r>
              <w:rPr>
                <w:rFonts w:hint="default" w:ascii="Times New Roman" w:hAnsi="Times New Roman" w:eastAsia="宋体" w:cs="Times New Roman"/>
                <w:color w:val="auto"/>
                <w:sz w:val="21"/>
                <w:szCs w:val="21"/>
              </w:rPr>
              <w:t>2017</w:t>
            </w:r>
            <w:r>
              <w:rPr>
                <w:rFonts w:hint="default" w:ascii="Times New Roman" w:hAnsi="Times New Roman" w:eastAsia="宋体" w:cs="Times New Roman"/>
                <w:color w:val="auto"/>
                <w:spacing w:val="-20"/>
                <w:sz w:val="21"/>
                <w:szCs w:val="21"/>
              </w:rPr>
              <w:t>〕</w:t>
            </w:r>
            <w:r>
              <w:rPr>
                <w:rFonts w:hint="default" w:ascii="Times New Roman" w:hAnsi="Times New Roman" w:eastAsia="宋体" w:cs="Times New Roman"/>
                <w:color w:val="auto"/>
                <w:sz w:val="21"/>
                <w:szCs w:val="21"/>
              </w:rPr>
              <w:t>84</w:t>
            </w:r>
            <w:r>
              <w:rPr>
                <w:rFonts w:hint="default" w:ascii="Times New Roman" w:hAnsi="Times New Roman" w:eastAsia="宋体" w:cs="Times New Roman"/>
                <w:color w:val="auto"/>
                <w:spacing w:val="-30"/>
                <w:sz w:val="21"/>
                <w:szCs w:val="21"/>
              </w:rPr>
              <w:t>号</w:t>
            </w:r>
            <w:r>
              <w:rPr>
                <w:rFonts w:hint="default" w:ascii="Times New Roman" w:hAnsi="Times New Roman" w:eastAsia="宋体" w:cs="Times New Roman"/>
                <w:color w:val="auto"/>
                <w:spacing w:val="-20"/>
                <w:sz w:val="21"/>
                <w:szCs w:val="21"/>
              </w:rPr>
              <w:t>），</w:t>
            </w:r>
            <w:r>
              <w:rPr>
                <w:rFonts w:hint="default" w:ascii="Times New Roman" w:hAnsi="Times New Roman" w:eastAsia="宋体" w:cs="Times New Roman"/>
                <w:color w:val="auto"/>
                <w:sz w:val="21"/>
                <w:szCs w:val="21"/>
              </w:rPr>
              <w:t>建设项目发生实际排污行为之前，排污单位应当按照国家环境保护相关法律法规以及排污许可证申请与核发技术规范要求申请排污许可证，不得无证排污或不按证排污。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项目属于</w:t>
            </w:r>
            <w:r>
              <w:rPr>
                <w:rFonts w:hint="default" w:ascii="Times New Roman" w:hAnsi="Times New Roman" w:eastAsia="宋体" w:cs="Times New Roman"/>
                <w:color w:val="auto"/>
                <w:kern w:val="21"/>
                <w:sz w:val="21"/>
                <w:szCs w:val="21"/>
                <w:lang w:val="en-US" w:eastAsia="zh-CN"/>
              </w:rPr>
              <w:t>砂石料加工</w:t>
            </w:r>
            <w:r>
              <w:rPr>
                <w:rFonts w:hint="default" w:ascii="Times New Roman" w:hAnsi="Times New Roman" w:eastAsia="宋体" w:cs="Times New Roman"/>
                <w:color w:val="auto"/>
                <w:sz w:val="21"/>
                <w:szCs w:val="21"/>
              </w:rPr>
              <w:t>项目，根据《固定污染源排污许可分类管</w:t>
            </w:r>
            <w:r>
              <w:rPr>
                <w:rFonts w:hint="default" w:ascii="Times New Roman" w:hAnsi="Times New Roman" w:eastAsia="宋体" w:cs="Times New Roman"/>
                <w:color w:val="auto"/>
                <w:kern w:val="21"/>
                <w:sz w:val="21"/>
                <w:szCs w:val="21"/>
              </w:rPr>
              <w:t>理名录（2019年版）》</w:t>
            </w:r>
            <w:r>
              <w:rPr>
                <w:rFonts w:hint="default" w:ascii="Times New Roman" w:hAnsi="Times New Roman" w:eastAsia="宋体" w:cs="Times New Roman"/>
                <w:color w:val="auto"/>
                <w:spacing w:val="-22"/>
                <w:sz w:val="21"/>
                <w:szCs w:val="21"/>
              </w:rPr>
              <w:t>，本</w:t>
            </w:r>
            <w:r>
              <w:rPr>
                <w:rFonts w:hint="default" w:ascii="Times New Roman" w:hAnsi="Times New Roman" w:eastAsia="宋体" w:cs="Times New Roman"/>
                <w:color w:val="auto"/>
                <w:sz w:val="21"/>
                <w:szCs w:val="21"/>
              </w:rPr>
              <w:t>项目属于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21"/>
                <w:sz w:val="21"/>
                <w:szCs w:val="21"/>
                <w:lang w:eastAsia="zh-CN"/>
              </w:rPr>
              <w:t>二十七</w:t>
            </w:r>
            <w:r>
              <w:rPr>
                <w:rFonts w:hint="default" w:ascii="Times New Roman" w:hAnsi="Times New Roman" w:eastAsia="宋体" w:cs="Times New Roman"/>
                <w:color w:val="auto"/>
                <w:kern w:val="21"/>
                <w:sz w:val="21"/>
                <w:szCs w:val="21"/>
              </w:rPr>
              <w:t>、</w:t>
            </w:r>
            <w:r>
              <w:rPr>
                <w:rFonts w:hint="default" w:ascii="Times New Roman" w:hAnsi="Times New Roman" w:eastAsia="宋体" w:cs="Times New Roman"/>
                <w:color w:val="auto"/>
                <w:kern w:val="21"/>
                <w:sz w:val="21"/>
                <w:szCs w:val="21"/>
                <w:lang w:eastAsia="zh-CN"/>
              </w:rPr>
              <w:t>非金属矿物制品</w:t>
            </w:r>
            <w:r>
              <w:rPr>
                <w:rFonts w:hint="default" w:ascii="Times New Roman" w:hAnsi="Times New Roman" w:eastAsia="宋体" w:cs="Times New Roman"/>
                <w:color w:val="auto"/>
                <w:sz w:val="21"/>
                <w:szCs w:val="21"/>
                <w:lang w:eastAsia="zh-CN"/>
              </w:rPr>
              <w:t>”中其他建筑材料</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项目属于简化管理的项目。</w:t>
            </w:r>
          </w:p>
          <w:p>
            <w:pPr>
              <w:keepNext w:val="0"/>
              <w:keepLines w:val="0"/>
              <w:pageBreakBefore w:val="0"/>
              <w:kinsoku/>
              <w:wordWrap/>
              <w:overflowPunct/>
              <w:topLinePunct w:val="0"/>
              <w:autoSpaceDE/>
              <w:autoSpaceDN/>
              <w:bidi w:val="0"/>
              <w:adjustRightInd/>
              <w:snapToGrid/>
              <w:spacing w:line="240" w:lineRule="auto"/>
              <w:ind w:firstLine="392"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7"/>
                <w:sz w:val="21"/>
                <w:szCs w:val="21"/>
              </w:rPr>
              <w:t>综合分析，项目应当在</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"http://permit.mee.gov.cn/" \h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pacing w:val="-1"/>
                <w:sz w:val="21"/>
                <w:szCs w:val="21"/>
              </w:rPr>
              <w:t>（http://permit.mee.gov.cn/</w:t>
            </w:r>
            <w:r>
              <w:rPr>
                <w:rFonts w:hint="default" w:ascii="Times New Roman" w:hAnsi="Times New Roman" w:eastAsia="宋体" w:cs="Times New Roman"/>
                <w:color w:val="auto"/>
                <w:spacing w:val="-1"/>
                <w:sz w:val="21"/>
                <w:szCs w:val="21"/>
              </w:rPr>
              <w:fldChar w:fldCharType="end"/>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全国排污许可证管理信息平台填报基本信息、污染物排放去向、执行的污染物排放标准以及采取的污染防治措施等信息</w:t>
            </w:r>
            <w:r>
              <w:rPr>
                <w:rFonts w:hint="default" w:ascii="Times New Roman" w:hAnsi="Times New Roman" w:eastAsia="宋体" w:cs="Times New Roman"/>
                <w:color w:val="auto"/>
                <w:sz w:val="21"/>
                <w:szCs w:val="21"/>
                <w:lang w:eastAsia="zh-CN"/>
              </w:rPr>
              <w:t>。</w:t>
            </w:r>
          </w:p>
          <w:p>
            <w:pPr>
              <w:pageBreakBefore w:val="0"/>
              <w:kinsoku/>
              <w:wordWrap/>
              <w:overflowPunct/>
              <w:topLinePunct w:val="0"/>
              <w:autoSpaceDE/>
              <w:autoSpaceDN/>
              <w:bidi w:val="0"/>
              <w:adjustRightInd/>
              <w:snapToGrid/>
              <w:textAlignment w:val="auto"/>
              <w:rPr>
                <w:rFonts w:hint="default" w:ascii="Times New Roman" w:hAnsi="Times New Roman" w:cs="Times New Roman"/>
                <w:b/>
                <w:bCs/>
                <w:szCs w:val="21"/>
              </w:rPr>
            </w:pPr>
            <w:r>
              <w:rPr>
                <w:rFonts w:hint="default" w:ascii="Times New Roman" w:hAnsi="Times New Roman" w:cs="Times New Roman"/>
                <w:b/>
                <w:bCs/>
                <w:szCs w:val="21"/>
                <w:lang w:val="en-US" w:eastAsia="zh-CN"/>
              </w:rPr>
              <w:t>4、</w:t>
            </w:r>
            <w:r>
              <w:rPr>
                <w:rFonts w:hint="default" w:ascii="Times New Roman" w:hAnsi="Times New Roman" w:cs="Times New Roman"/>
                <w:b/>
                <w:bCs/>
                <w:szCs w:val="21"/>
              </w:rPr>
              <w:t>应急预案备案</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szCs w:val="21"/>
              </w:rPr>
              <w:t>本项目涉及新增危险废物，根据新修订的《中华人民共和国固体废物污染环境防治法》，建设单位应当依法制定意外事故的防范措施和应急预案，并向所在地生态环境主管部门和其他污染环境防治监督管理职责的部门备案。</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sz w:val="21"/>
                <w:szCs w:val="21"/>
                <w:lang w:val="en-US" w:eastAsia="zh-CN"/>
              </w:rPr>
            </w:pPr>
          </w:p>
        </w:tc>
      </w:tr>
    </w:tbl>
    <w:p>
      <w:pPr>
        <w:pStyle w:val="2"/>
        <w:spacing w:before="62" w:beforeLines="20" w:after="31" w:afterLines="10" w:line="360" w:lineRule="auto"/>
        <w:jc w:val="center"/>
        <w:rPr>
          <w:rFonts w:ascii="Times New Roman" w:hAnsi="Times New Roman" w:eastAsia="黑体" w:cs="Times New Roman"/>
          <w:b w:val="0"/>
          <w:color w:val="auto"/>
          <w:sz w:val="30"/>
          <w:szCs w:val="30"/>
        </w:rPr>
      </w:pPr>
      <w:bookmarkStart w:id="49" w:name="_Toc27512"/>
      <w:r>
        <w:rPr>
          <w:rFonts w:ascii="Times New Roman" w:hAnsi="Times New Roman" w:eastAsia="黑体" w:cs="Times New Roman"/>
          <w:b w:val="0"/>
          <w:color w:val="auto"/>
          <w:sz w:val="30"/>
          <w:szCs w:val="30"/>
        </w:rPr>
        <w:t>六、结论</w:t>
      </w:r>
      <w:bookmarkEnd w:id="49"/>
    </w:p>
    <w:tbl>
      <w:tblPr>
        <w:tblStyle w:val="26"/>
        <w:tblW w:w="92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76" w:hRule="atLeast"/>
          <w:jc w:val="center"/>
        </w:trPr>
        <w:tc>
          <w:tcPr>
            <w:tcW w:w="9288" w:type="dxa"/>
          </w:tcPr>
          <w:p>
            <w:pPr>
              <w:pStyle w:val="54"/>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sz w:val="24"/>
                <w14:textFill>
                  <w14:solidFill>
                    <w14:schemeClr w14:val="tx1"/>
                  </w14:solidFill>
                </w14:textFill>
              </w:rPr>
              <w:t>根据以上分析，项目建设符合《产业结构调整指导目录（20</w:t>
            </w:r>
            <w:r>
              <w:rPr>
                <w:rFonts w:hint="default" w:ascii="Times New Roman" w:hAnsi="Times New Roman" w:cs="Times New Roman"/>
                <w:b w:val="0"/>
                <w:bCs w:val="0"/>
                <w:color w:val="000000" w:themeColor="text1"/>
                <w:sz w:val="24"/>
                <w:lang w:val="en-US" w:eastAsia="zh-CN"/>
                <w14:textFill>
                  <w14:solidFill>
                    <w14:schemeClr w14:val="tx1"/>
                  </w14:solidFill>
                </w14:textFill>
              </w:rPr>
              <w:t>24</w:t>
            </w:r>
            <w:r>
              <w:rPr>
                <w:rFonts w:hint="default" w:ascii="Times New Roman" w:hAnsi="Times New Roman" w:cs="Times New Roman"/>
                <w:b w:val="0"/>
                <w:bCs w:val="0"/>
                <w:color w:val="000000" w:themeColor="text1"/>
                <w:sz w:val="24"/>
                <w14:textFill>
                  <w14:solidFill>
                    <w14:schemeClr w14:val="tx1"/>
                  </w14:solidFill>
                </w14:textFill>
              </w:rPr>
              <w:t>年本）》，符合</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大理白族自治州生态环境局关于印发《大理州生态环境分区管控动态更新调整方案（2023年）》的通知</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大</w:t>
            </w:r>
            <w:r>
              <w:rPr>
                <w:rFonts w:hint="default"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环</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发〔202</w:t>
            </w:r>
            <w:r>
              <w:rPr>
                <w:rFonts w:hint="default"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w:t>
            </w:r>
            <w:r>
              <w:rPr>
                <w:rFonts w:hint="default" w:ascii="Times New Roman" w:hAnsi="Times New Roman" w:eastAsia="宋体" w:cs="Times New Roman"/>
                <w:b w:val="0"/>
                <w:bCs w:val="0"/>
                <w:color w:val="000000" w:themeColor="text1"/>
                <w:sz w:val="24"/>
                <w:szCs w:val="24"/>
                <w:shd w:val="clear" w:color="auto" w:fill="FFFFFF"/>
                <w:lang w:val="en-US" w:eastAsia="zh-CN"/>
                <w14:textFill>
                  <w14:solidFill>
                    <w14:schemeClr w14:val="tx1"/>
                  </w14:solidFill>
                </w14:textFill>
              </w:rPr>
              <w:t>44</w:t>
            </w:r>
            <w:r>
              <w:rPr>
                <w:rFonts w:hint="default" w:ascii="Times New Roman" w:hAnsi="Times New Roman" w:eastAsia="宋体" w:cs="Times New Roman"/>
                <w:b w:val="0"/>
                <w:bCs w:val="0"/>
                <w:color w:val="000000" w:themeColor="text1"/>
                <w:sz w:val="24"/>
                <w:szCs w:val="24"/>
                <w:shd w:val="clear" w:color="auto" w:fill="FFFFFF"/>
                <w14:textFill>
                  <w14:solidFill>
                    <w14:schemeClr w14:val="tx1"/>
                  </w14:solidFill>
                </w14:textFill>
              </w:rPr>
              <w:t>号</w:t>
            </w:r>
            <w:r>
              <w:rPr>
                <w:rFonts w:hint="default" w:ascii="Times New Roman" w:hAnsi="Times New Roman" w:eastAsia="宋体"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”要求</w:t>
            </w:r>
            <w:r>
              <w:rPr>
                <w:rFonts w:hint="default" w:ascii="Times New Roman" w:hAnsi="Times New Roman"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符合</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《大理州“十四五”生态环境保护规划》、</w:t>
            </w:r>
            <w:r>
              <w:rPr>
                <w:rFonts w:hint="default" w:ascii="Times New Roman" w:hAnsi="Times New Roman" w:cs="Times New Roman"/>
                <w:b w:val="0"/>
                <w:bCs w:val="0"/>
                <w:color w:val="000000" w:themeColor="text1"/>
                <w:sz w:val="24"/>
                <w14:textFill>
                  <w14:solidFill>
                    <w14:schemeClr w14:val="tx1"/>
                  </w14:solidFill>
                </w14:textFill>
              </w:rPr>
              <w:t>《中华人民共和国大气污染防治法》</w:t>
            </w:r>
            <w:r>
              <w:rPr>
                <w:rFonts w:hint="default" w:ascii="Times New Roman" w:hAnsi="Times New Roman" w:cs="Times New Roman"/>
                <w:b w:val="0"/>
                <w:bCs w:val="0"/>
                <w:color w:val="000000" w:themeColor="text1"/>
                <w:sz w:val="24"/>
                <w:lang w:eastAsia="zh-CN"/>
                <w14:textFill>
                  <w14:solidFill>
                    <w14:schemeClr w14:val="tx1"/>
                  </w14:solidFill>
                </w14:textFill>
              </w:rPr>
              <w:t>、</w:t>
            </w:r>
            <w:r>
              <w:rPr>
                <w:rFonts w:hint="default" w:ascii="Times New Roman" w:hAnsi="Times New Roman" w:cs="Times New Roman"/>
                <w:b w:val="0"/>
                <w:bCs w:val="0"/>
                <w:color w:val="000000" w:themeColor="text1"/>
                <w:sz w:val="24"/>
                <w14:textFill>
                  <w14:solidFill>
                    <w14:schemeClr w14:val="tx1"/>
                  </w14:solidFill>
                </w14:textFill>
              </w:rPr>
              <w:t>《关于推进机制砂石行业高质量发展的若干意见》（工信部联原[2019]239号）、《中华人民共和国河道管理条例》</w:t>
            </w:r>
            <w:r>
              <w:rPr>
                <w:rFonts w:hint="default" w:ascii="Times New Roman" w:hAnsi="Times New Roman" w:eastAsia="宋体" w:cs="Times New Roman"/>
                <w:b w:val="0"/>
                <w:bCs w:val="0"/>
                <w:i w:val="0"/>
                <w:iCs w:val="0"/>
                <w:caps w:val="0"/>
                <w:color w:val="000000" w:themeColor="text1"/>
                <w:spacing w:val="0"/>
                <w:sz w:val="24"/>
                <w:szCs w:val="24"/>
                <w:shd w:val="clear" w:fill="FFFFFF"/>
                <w:lang w:val="en-US" w:eastAsia="zh-CN"/>
                <w14:textFill>
                  <w14:solidFill>
                    <w14:schemeClr w14:val="tx1"/>
                  </w14:solidFill>
                </w14:textFill>
              </w:rPr>
              <w:t>等规范法规</w:t>
            </w:r>
            <w:r>
              <w:rPr>
                <w:rFonts w:hint="default" w:ascii="Times New Roman" w:hAnsi="Times New Roman" w:cs="Times New Roman"/>
                <w:b w:val="0"/>
                <w:bCs w:val="0"/>
                <w:color w:val="000000" w:themeColor="text1"/>
                <w:sz w:val="24"/>
                <w14:textFill>
                  <w14:solidFill>
                    <w14:schemeClr w14:val="tx1"/>
                  </w14:solidFill>
                </w14:textFill>
              </w:rPr>
              <w:t>要求。</w:t>
            </w:r>
            <w:r>
              <w:rPr>
                <w:rFonts w:hint="default" w:ascii="Times New Roman" w:hAnsi="Times New Roman" w:cs="Times New Roman"/>
                <w:b w:val="0"/>
                <w:bCs w:val="0"/>
                <w:color w:val="000000" w:themeColor="text1"/>
                <w14:textFill>
                  <w14:solidFill>
                    <w14:schemeClr w14:val="tx1"/>
                  </w14:solidFill>
                </w14:textFill>
              </w:rPr>
              <w:t>本项目的建设符合国家、地方产业政策，以及相关规划，不涉及自然保护区、风景名胜区、水源保护区等环境敏感区，与周围居民点、学校、医院等关心点距离较远，选址合理。在采取环评提出的相应环保措施后，项目产生的废气、噪声均可达标排放</w:t>
            </w:r>
            <w:r>
              <w:rPr>
                <w:rFonts w:hint="default" w:ascii="Times New Roman" w:hAnsi="Times New Roman" w:cs="Times New Roman"/>
                <w:b w:val="0"/>
                <w:bCs w:val="0"/>
                <w:color w:val="000000" w:themeColor="text1"/>
                <w:lang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废水</w:t>
            </w:r>
            <w:r>
              <w:rPr>
                <w:rFonts w:hint="default" w:ascii="Times New Roman" w:hAnsi="Times New Roman" w:cs="Times New Roman"/>
                <w:b w:val="0"/>
                <w:bCs w:val="0"/>
                <w:color w:val="000000" w:themeColor="text1"/>
                <w:lang w:val="en-US" w:eastAsia="zh-CN"/>
                <w14:textFill>
                  <w14:solidFill>
                    <w14:schemeClr w14:val="tx1"/>
                  </w14:solidFill>
                </w14:textFill>
              </w:rPr>
              <w:t>不外排</w:t>
            </w:r>
            <w:r>
              <w:rPr>
                <w:rFonts w:hint="default" w:ascii="Times New Roman" w:hAnsi="Times New Roman" w:cs="Times New Roman"/>
                <w:b w:val="0"/>
                <w:bCs w:val="0"/>
                <w:color w:val="000000" w:themeColor="text1"/>
                <w14:textFill>
                  <w14:solidFill>
                    <w14:schemeClr w14:val="tx1"/>
                  </w14:solidFill>
                </w14:textFill>
              </w:rPr>
              <w:t>，固废处置率100%，对当地环境质量及主要关心点环境影响较小，符合达标排放和不降低当地环境功能的原则要求，符合国家法律法规要求。</w:t>
            </w:r>
          </w:p>
          <w:p>
            <w:pPr>
              <w:pStyle w:val="54"/>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本项目在严格执行环境保护“三同时”制度，严格进行环境管理，保证项目内的废气处理设施及其他环保设施的正常运行，污染物达标排放的条件下，从环境保护角度论证，本项目的建设是可行的。</w:t>
            </w: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rPr>
                <w:rFonts w:hint="default" w:ascii="Times New Roman" w:hAnsi="Times New Roman" w:eastAsia="宋体" w:cs="Times New Roman"/>
                <w:color w:val="auto"/>
                <w:kern w:val="2"/>
                <w:sz w:val="24"/>
                <w:szCs w:val="24"/>
                <w:lang w:val="en-US" w:eastAsia="zh-CN" w:bidi="ar-SA"/>
              </w:rPr>
            </w:pPr>
          </w:p>
          <w:p>
            <w:pPr>
              <w:pStyle w:val="25"/>
              <w:ind w:left="0" w:leftChars="0" w:firstLine="0" w:firstLineChars="0"/>
              <w:rPr>
                <w:rFonts w:hint="default" w:ascii="Times New Roman" w:hAnsi="Times New Roman" w:eastAsia="宋体" w:cs="Times New Roman"/>
                <w:color w:val="auto"/>
                <w:kern w:val="2"/>
                <w:sz w:val="24"/>
                <w:szCs w:val="24"/>
                <w:lang w:val="en-US" w:eastAsia="zh-CN" w:bidi="ar-SA"/>
              </w:rPr>
            </w:pPr>
          </w:p>
        </w:tc>
      </w:tr>
    </w:tbl>
    <w:p>
      <w:pPr>
        <w:rPr>
          <w:rFonts w:ascii="Times New Roman" w:hAnsi="Times New Roman" w:cs="Times New Roman"/>
          <w:color w:val="auto"/>
        </w:rPr>
        <w:sectPr>
          <w:pgSz w:w="11906" w:h="16838"/>
          <w:pgMar w:top="646" w:right="1417" w:bottom="646"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widowControl/>
        <w:jc w:val="left"/>
        <w:rPr>
          <w:rFonts w:ascii="Times New Roman" w:hAnsi="Times New Roman" w:eastAsia="黑体" w:cs="Times New Roman"/>
          <w:color w:val="auto"/>
          <w:sz w:val="30"/>
          <w:szCs w:val="30"/>
        </w:rPr>
      </w:pPr>
      <w:bookmarkStart w:id="50" w:name="_Toc15715"/>
      <w:r>
        <w:rPr>
          <w:rFonts w:ascii="Times New Roman" w:hAnsi="Times New Roman" w:eastAsia="黑体" w:cs="Times New Roman"/>
          <w:color w:val="auto"/>
          <w:sz w:val="30"/>
          <w:szCs w:val="30"/>
        </w:rPr>
        <w:t>附表</w:t>
      </w:r>
      <w:bookmarkEnd w:id="50"/>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Times New Roman" w:hAnsi="Times New Roman" w:eastAsia="方正小标宋_GBK"/>
          <w:snapToGrid w:val="0"/>
          <w:color w:val="auto"/>
          <w:sz w:val="38"/>
          <w:szCs w:val="38"/>
        </w:rPr>
      </w:pPr>
      <w:bookmarkStart w:id="51" w:name="_Toc21278"/>
      <w:r>
        <w:rPr>
          <w:rFonts w:ascii="Times New Roman" w:hAnsi="Times New Roman" w:eastAsia="方正小标宋_GBK"/>
          <w:snapToGrid w:val="0"/>
          <w:color w:val="auto"/>
          <w:sz w:val="38"/>
          <w:szCs w:val="38"/>
        </w:rPr>
        <w:t>建设项目污染物排放量汇总表</w:t>
      </w:r>
      <w:bookmarkEnd w:id="51"/>
    </w:p>
    <w:tbl>
      <w:tblPr>
        <w:tblStyle w:val="26"/>
        <w:tblW w:w="1559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385"/>
        <w:gridCol w:w="1776"/>
        <w:gridCol w:w="1195"/>
        <w:gridCol w:w="1878"/>
        <w:gridCol w:w="2031"/>
        <w:gridCol w:w="1825"/>
        <w:gridCol w:w="2235"/>
        <w:gridCol w:w="1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91" w:type="dxa"/>
            <w:tcBorders>
              <w:tl2br w:val="single" w:color="auto" w:sz="4" w:space="0"/>
            </w:tcBorders>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bookmarkStart w:id="52" w:name="_Toc11049"/>
            <w:r>
              <w:rPr>
                <w:rFonts w:hint="default" w:ascii="Times New Roman" w:hAnsi="Times New Roman" w:eastAsia="黑体" w:cs="Times New Roman"/>
                <w:b w:val="0"/>
                <w:bCs w:val="0"/>
                <w:snapToGrid w:val="0"/>
                <w:color w:val="auto"/>
                <w:spacing w:val="-6"/>
                <w:kern w:val="21"/>
                <w:sz w:val="21"/>
                <w:szCs w:val="21"/>
              </w:rPr>
              <w:t>项目</w:t>
            </w:r>
          </w:p>
          <w:p>
            <w:pPr>
              <w:pStyle w:val="46"/>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分类</w:t>
            </w:r>
          </w:p>
        </w:tc>
        <w:tc>
          <w:tcPr>
            <w:tcW w:w="138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污染物名称</w:t>
            </w:r>
          </w:p>
        </w:tc>
        <w:tc>
          <w:tcPr>
            <w:tcW w:w="1776"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现有工程</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排放量（固体废物产生量）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1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①</w:t>
            </w:r>
            <w:r>
              <w:rPr>
                <w:rFonts w:hint="default" w:ascii="Times New Roman" w:hAnsi="Times New Roman" w:eastAsia="黑体" w:cs="Times New Roman"/>
                <w:b w:val="0"/>
                <w:bCs w:val="0"/>
                <w:snapToGrid w:val="0"/>
                <w:color w:val="auto"/>
                <w:spacing w:val="-6"/>
                <w:kern w:val="21"/>
                <w:sz w:val="21"/>
                <w:szCs w:val="21"/>
              </w:rPr>
              <w:fldChar w:fldCharType="end"/>
            </w:r>
          </w:p>
        </w:tc>
        <w:tc>
          <w:tcPr>
            <w:tcW w:w="119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现有工程</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许可排放量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2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snapToGrid w:val="0"/>
                <w:color w:val="auto"/>
                <w:spacing w:val="-6"/>
                <w:kern w:val="21"/>
                <w:sz w:val="21"/>
                <w:szCs w:val="21"/>
              </w:rPr>
              <w:t>②</w:t>
            </w:r>
            <w:r>
              <w:rPr>
                <w:rFonts w:hint="default" w:ascii="Times New Roman" w:hAnsi="Times New Roman" w:eastAsia="黑体" w:cs="Times New Roman"/>
                <w:b w:val="0"/>
                <w:bCs w:val="0"/>
                <w:snapToGrid w:val="0"/>
                <w:color w:val="auto"/>
                <w:spacing w:val="-6"/>
                <w:kern w:val="21"/>
                <w:sz w:val="21"/>
                <w:szCs w:val="21"/>
              </w:rPr>
              <w:fldChar w:fldCharType="end"/>
            </w:r>
          </w:p>
        </w:tc>
        <w:tc>
          <w:tcPr>
            <w:tcW w:w="1878"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在建工程</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排放量（固体废物产生量）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3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③</w:t>
            </w:r>
            <w:r>
              <w:rPr>
                <w:rFonts w:hint="default" w:ascii="Times New Roman" w:hAnsi="Times New Roman" w:eastAsia="黑体" w:cs="Times New Roman"/>
                <w:b w:val="0"/>
                <w:bCs w:val="0"/>
                <w:snapToGrid w:val="0"/>
                <w:color w:val="auto"/>
                <w:spacing w:val="-6"/>
                <w:kern w:val="21"/>
                <w:sz w:val="21"/>
                <w:szCs w:val="21"/>
              </w:rPr>
              <w:fldChar w:fldCharType="end"/>
            </w:r>
          </w:p>
        </w:tc>
        <w:tc>
          <w:tcPr>
            <w:tcW w:w="2031"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本项目</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排放量（固体废物产生量）</w:t>
            </w: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4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④</w:t>
            </w:r>
            <w:r>
              <w:rPr>
                <w:rFonts w:hint="default" w:ascii="Times New Roman" w:hAnsi="Times New Roman" w:eastAsia="黑体" w:cs="Times New Roman"/>
                <w:b w:val="0"/>
                <w:bCs w:val="0"/>
                <w:snapToGrid w:val="0"/>
                <w:color w:val="auto"/>
                <w:spacing w:val="-6"/>
                <w:kern w:val="21"/>
                <w:sz w:val="21"/>
                <w:szCs w:val="21"/>
              </w:rPr>
              <w:fldChar w:fldCharType="end"/>
            </w:r>
          </w:p>
        </w:tc>
        <w:tc>
          <w:tcPr>
            <w:tcW w:w="182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以新带老削减量</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（新建项目不填）</w:t>
            </w:r>
            <w:r>
              <w:rPr>
                <w:rFonts w:hint="default" w:ascii="Times New Roman" w:hAnsi="Times New Roman" w:eastAsia="黑体" w:cs="Times New Roman"/>
                <w:b w:val="0"/>
                <w:bCs w:val="0"/>
                <w:snapToGrid w:val="0"/>
                <w:color w:val="auto"/>
                <w:spacing w:val="-16"/>
                <w:kern w:val="21"/>
                <w:sz w:val="21"/>
                <w:szCs w:val="21"/>
              </w:rPr>
              <w:fldChar w:fldCharType="begin"/>
            </w:r>
            <w:r>
              <w:rPr>
                <w:rFonts w:hint="default" w:ascii="Times New Roman" w:hAnsi="Times New Roman" w:eastAsia="黑体" w:cs="Times New Roman"/>
                <w:b w:val="0"/>
                <w:bCs w:val="0"/>
                <w:snapToGrid w:val="0"/>
                <w:color w:val="auto"/>
                <w:spacing w:val="-16"/>
                <w:kern w:val="21"/>
                <w:sz w:val="21"/>
                <w:szCs w:val="21"/>
              </w:rPr>
              <w:instrText xml:space="preserve"> = 5 \* GB3 \* MERGEFORMAT </w:instrText>
            </w:r>
            <w:r>
              <w:rPr>
                <w:rFonts w:hint="default" w:ascii="Times New Roman" w:hAnsi="Times New Roman" w:eastAsia="黑体" w:cs="Times New Roman"/>
                <w:b w:val="0"/>
                <w:bCs w:val="0"/>
                <w:snapToGrid w:val="0"/>
                <w:color w:val="auto"/>
                <w:spacing w:val="-16"/>
                <w:kern w:val="21"/>
                <w:sz w:val="21"/>
                <w:szCs w:val="21"/>
              </w:rPr>
              <w:fldChar w:fldCharType="separate"/>
            </w:r>
            <w:r>
              <w:rPr>
                <w:rFonts w:hint="default" w:ascii="Times New Roman" w:hAnsi="Times New Roman" w:eastAsia="黑体" w:cs="Times New Roman"/>
                <w:b w:val="0"/>
                <w:bCs w:val="0"/>
                <w:color w:val="auto"/>
                <w:kern w:val="2"/>
                <w:sz w:val="21"/>
                <w:szCs w:val="21"/>
              </w:rPr>
              <w:t>⑤</w:t>
            </w:r>
            <w:r>
              <w:rPr>
                <w:rFonts w:hint="default" w:ascii="Times New Roman" w:hAnsi="Times New Roman" w:eastAsia="黑体" w:cs="Times New Roman"/>
                <w:b w:val="0"/>
                <w:bCs w:val="0"/>
                <w:snapToGrid w:val="0"/>
                <w:color w:val="auto"/>
                <w:spacing w:val="-16"/>
                <w:kern w:val="21"/>
                <w:sz w:val="21"/>
                <w:szCs w:val="21"/>
              </w:rPr>
              <w:fldChar w:fldCharType="end"/>
            </w:r>
          </w:p>
        </w:tc>
        <w:tc>
          <w:tcPr>
            <w:tcW w:w="2235"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本项目建成后</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16"/>
                <w:kern w:val="21"/>
                <w:sz w:val="21"/>
                <w:szCs w:val="21"/>
              </w:rPr>
            </w:pPr>
            <w:r>
              <w:rPr>
                <w:rFonts w:hint="default" w:ascii="Times New Roman" w:hAnsi="Times New Roman" w:eastAsia="黑体" w:cs="Times New Roman"/>
                <w:b w:val="0"/>
                <w:bCs w:val="0"/>
                <w:snapToGrid w:val="0"/>
                <w:color w:val="auto"/>
                <w:spacing w:val="-16"/>
                <w:kern w:val="21"/>
                <w:sz w:val="21"/>
                <w:szCs w:val="21"/>
              </w:rPr>
              <w:t>全厂排放量（固体废物产生量）</w:t>
            </w:r>
            <w:r>
              <w:rPr>
                <w:rFonts w:hint="default" w:ascii="Times New Roman" w:hAnsi="Times New Roman" w:eastAsia="黑体" w:cs="Times New Roman"/>
                <w:b w:val="0"/>
                <w:bCs w:val="0"/>
                <w:snapToGrid w:val="0"/>
                <w:color w:val="auto"/>
                <w:spacing w:val="-16"/>
                <w:kern w:val="21"/>
                <w:sz w:val="21"/>
                <w:szCs w:val="21"/>
              </w:rPr>
              <w:fldChar w:fldCharType="begin"/>
            </w:r>
            <w:r>
              <w:rPr>
                <w:rFonts w:hint="default" w:ascii="Times New Roman" w:hAnsi="Times New Roman" w:eastAsia="黑体" w:cs="Times New Roman"/>
                <w:b w:val="0"/>
                <w:bCs w:val="0"/>
                <w:snapToGrid w:val="0"/>
                <w:color w:val="auto"/>
                <w:spacing w:val="-16"/>
                <w:kern w:val="21"/>
                <w:sz w:val="21"/>
                <w:szCs w:val="21"/>
              </w:rPr>
              <w:instrText xml:space="preserve"> = 6 \* GB3 \* MERGEFORMAT </w:instrText>
            </w:r>
            <w:r>
              <w:rPr>
                <w:rFonts w:hint="default" w:ascii="Times New Roman" w:hAnsi="Times New Roman" w:eastAsia="黑体" w:cs="Times New Roman"/>
                <w:b w:val="0"/>
                <w:bCs w:val="0"/>
                <w:snapToGrid w:val="0"/>
                <w:color w:val="auto"/>
                <w:spacing w:val="-16"/>
                <w:kern w:val="21"/>
                <w:sz w:val="21"/>
                <w:szCs w:val="21"/>
              </w:rPr>
              <w:fldChar w:fldCharType="separate"/>
            </w:r>
            <w:r>
              <w:rPr>
                <w:rFonts w:hint="default" w:ascii="Times New Roman" w:hAnsi="Times New Roman" w:eastAsia="黑体" w:cs="Times New Roman"/>
                <w:b w:val="0"/>
                <w:bCs w:val="0"/>
                <w:color w:val="auto"/>
                <w:kern w:val="2"/>
                <w:sz w:val="21"/>
                <w:szCs w:val="21"/>
              </w:rPr>
              <w:t>⑥</w:t>
            </w:r>
            <w:r>
              <w:rPr>
                <w:rFonts w:hint="default" w:ascii="Times New Roman" w:hAnsi="Times New Roman" w:eastAsia="黑体" w:cs="Times New Roman"/>
                <w:b w:val="0"/>
                <w:bCs w:val="0"/>
                <w:snapToGrid w:val="0"/>
                <w:color w:val="auto"/>
                <w:spacing w:val="-16"/>
                <w:kern w:val="21"/>
                <w:sz w:val="21"/>
                <w:szCs w:val="21"/>
              </w:rPr>
              <w:fldChar w:fldCharType="end"/>
            </w:r>
          </w:p>
        </w:tc>
        <w:tc>
          <w:tcPr>
            <w:tcW w:w="1677" w:type="dxa"/>
            <w:tcMar>
              <w:left w:w="28" w:type="dxa"/>
              <w:right w:w="28" w:type="dxa"/>
            </w:tcMar>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t>变化量</w:t>
            </w:r>
          </w:p>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napToGrid w:val="0"/>
                <w:color w:val="auto"/>
                <w:spacing w:val="-6"/>
                <w:kern w:val="21"/>
                <w:sz w:val="21"/>
                <w:szCs w:val="21"/>
              </w:rPr>
            </w:pPr>
            <w:r>
              <w:rPr>
                <w:rFonts w:hint="default" w:ascii="Times New Roman" w:hAnsi="Times New Roman" w:eastAsia="黑体" w:cs="Times New Roman"/>
                <w:b w:val="0"/>
                <w:bCs w:val="0"/>
                <w:snapToGrid w:val="0"/>
                <w:color w:val="auto"/>
                <w:spacing w:val="-6"/>
                <w:kern w:val="21"/>
                <w:sz w:val="21"/>
                <w:szCs w:val="21"/>
              </w:rPr>
              <w:fldChar w:fldCharType="begin"/>
            </w:r>
            <w:r>
              <w:rPr>
                <w:rFonts w:hint="default" w:ascii="Times New Roman" w:hAnsi="Times New Roman" w:eastAsia="黑体" w:cs="Times New Roman"/>
                <w:b w:val="0"/>
                <w:bCs w:val="0"/>
                <w:snapToGrid w:val="0"/>
                <w:color w:val="auto"/>
                <w:spacing w:val="-6"/>
                <w:kern w:val="21"/>
                <w:sz w:val="21"/>
                <w:szCs w:val="21"/>
              </w:rPr>
              <w:instrText xml:space="preserve"> = 7 \* GB3 \* MERGEFORMAT </w:instrText>
            </w:r>
            <w:r>
              <w:rPr>
                <w:rFonts w:hint="default" w:ascii="Times New Roman" w:hAnsi="Times New Roman" w:eastAsia="黑体" w:cs="Times New Roman"/>
                <w:b w:val="0"/>
                <w:bCs w:val="0"/>
                <w:snapToGrid w:val="0"/>
                <w:color w:val="auto"/>
                <w:spacing w:val="-6"/>
                <w:kern w:val="21"/>
                <w:sz w:val="21"/>
                <w:szCs w:val="21"/>
              </w:rPr>
              <w:fldChar w:fldCharType="separate"/>
            </w:r>
            <w:r>
              <w:rPr>
                <w:rFonts w:hint="default" w:ascii="Times New Roman" w:hAnsi="Times New Roman" w:eastAsia="黑体" w:cs="Times New Roman"/>
                <w:b w:val="0"/>
                <w:bCs w:val="0"/>
                <w:color w:val="auto"/>
                <w:kern w:val="2"/>
                <w:sz w:val="21"/>
                <w:szCs w:val="21"/>
              </w:rPr>
              <w:t>⑦</w:t>
            </w:r>
            <w:r>
              <w:rPr>
                <w:rFonts w:hint="default" w:ascii="Times New Roman" w:hAnsi="Times New Roman" w:eastAsia="黑体" w:cs="Times New Roman"/>
                <w:b w:val="0"/>
                <w:bCs w:val="0"/>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eastAsia="zh-CN"/>
              </w:rPr>
              <w:t>废气</w:t>
            </w:r>
          </w:p>
        </w:tc>
        <w:tc>
          <w:tcPr>
            <w:tcW w:w="1385"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eastAsia="zh-CN"/>
              </w:rPr>
              <w:t>颗粒物</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677" w:type="dxa"/>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restart"/>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b w:val="0"/>
                <w:bCs w:val="0"/>
                <w:snapToGrid w:val="0"/>
                <w:color w:val="auto"/>
                <w:kern w:val="21"/>
                <w:sz w:val="21"/>
                <w:szCs w:val="21"/>
              </w:rPr>
              <w:t>废水</w:t>
            </w:r>
          </w:p>
        </w:tc>
        <w:tc>
          <w:tcPr>
            <w:tcW w:w="1385" w:type="dxa"/>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b w:val="0"/>
                <w:bCs w:val="0"/>
                <w:snapToGrid w:val="0"/>
                <w:color w:val="auto"/>
                <w:spacing w:val="0"/>
                <w:kern w:val="21"/>
                <w:sz w:val="21"/>
                <w:szCs w:val="21"/>
                <w:lang w:val="en-US" w:eastAsia="zh-CN" w:bidi="ar-SA"/>
              </w:rPr>
            </w:pPr>
            <w:r>
              <w:rPr>
                <w:rFonts w:hint="eastAsia" w:ascii="Times New Roman" w:hAnsi="Times New Roman" w:cs="Times New Roman"/>
                <w:b w:val="0"/>
                <w:bCs w:val="0"/>
                <w:snapToGrid w:val="0"/>
                <w:color w:val="auto"/>
                <w:kern w:val="21"/>
                <w:sz w:val="21"/>
                <w:szCs w:val="21"/>
                <w:lang w:val="en-US" w:eastAsia="zh-CN"/>
              </w:rPr>
              <w:t>生活污水</w:t>
            </w:r>
          </w:p>
        </w:tc>
        <w:tc>
          <w:tcPr>
            <w:tcW w:w="1776" w:type="dxa"/>
            <w:vAlign w:val="center"/>
          </w:tcPr>
          <w:p>
            <w:pPr>
              <w:spacing w:line="240" w:lineRule="auto"/>
              <w:ind w:left="420" w:leftChars="0" w:hanging="420" w:hangingChars="200"/>
              <w:jc w:val="center"/>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82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677"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shd w:val="clear" w:color="auto" w:fill="auto"/>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napToGrid w:val="0"/>
                <w:color w:val="auto"/>
                <w:spacing w:val="0"/>
                <w:kern w:val="21"/>
                <w:sz w:val="21"/>
                <w:szCs w:val="21"/>
                <w:lang w:val="en-US" w:eastAsia="zh-CN" w:bidi="ar-SA"/>
              </w:rPr>
            </w:pPr>
            <w:r>
              <w:rPr>
                <w:rFonts w:hint="eastAsia" w:ascii="Times New Roman" w:hAnsi="Times New Roman" w:cs="Times New Roman"/>
                <w:b w:val="0"/>
                <w:bCs w:val="0"/>
                <w:snapToGrid w:val="0"/>
                <w:color w:val="auto"/>
                <w:kern w:val="21"/>
                <w:sz w:val="21"/>
                <w:szCs w:val="21"/>
                <w:lang w:val="en-US" w:eastAsia="zh-CN"/>
              </w:rPr>
              <w:t>生产废水</w:t>
            </w:r>
          </w:p>
        </w:tc>
        <w:tc>
          <w:tcPr>
            <w:tcW w:w="1776" w:type="dxa"/>
            <w:vAlign w:val="center"/>
          </w:tcPr>
          <w:p>
            <w:pPr>
              <w:spacing w:line="240" w:lineRule="auto"/>
              <w:ind w:left="420" w:leftChars="0" w:hanging="420" w:hangingChars="200"/>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825" w:type="dxa"/>
            <w:vAlign w:val="center"/>
          </w:tcPr>
          <w:p>
            <w:pPr>
              <w:spacing w:line="240" w:lineRule="auto"/>
              <w:jc w:val="center"/>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c>
          <w:tcPr>
            <w:tcW w:w="1677" w:type="dxa"/>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cs="Times New Roman"/>
                <w:snapToGrid w:val="0"/>
                <w:color w:val="auto"/>
                <w:kern w:val="21"/>
                <w:sz w:val="21"/>
                <w:szCs w:val="21"/>
                <w:lang w:val="en-US" w:eastAsia="zh-CN"/>
              </w:rPr>
              <w:t>0</w:t>
            </w:r>
            <w:r>
              <w:rPr>
                <w:rFonts w:hint="default" w:ascii="Times New Roman" w:hAnsi="Times New Roman" w:cs="Times New Roman"/>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91" w:type="dxa"/>
            <w:vMerge w:val="restart"/>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b w:val="0"/>
                <w:bCs w:val="0"/>
                <w:snapToGrid w:val="0"/>
                <w:color w:val="auto"/>
                <w:kern w:val="21"/>
                <w:sz w:val="21"/>
                <w:szCs w:val="21"/>
              </w:rPr>
              <w:t>固体废物</w:t>
            </w:r>
          </w:p>
        </w:tc>
        <w:tc>
          <w:tcPr>
            <w:tcW w:w="1385" w:type="dxa"/>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val="en-US" w:eastAsia="zh-CN"/>
              </w:rPr>
              <w:t>生活垃圾</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eastAsia="宋体" w:cs="Times New Roman"/>
                <w:b w:val="0"/>
                <w:bCs w:val="0"/>
                <w:snapToGrid w:val="0"/>
                <w:color w:val="auto"/>
                <w:kern w:val="21"/>
                <w:sz w:val="21"/>
                <w:szCs w:val="21"/>
                <w:lang w:val="en-US" w:eastAsia="zh-CN"/>
              </w:rPr>
              <w:t>1.5</w:t>
            </w:r>
            <w:r>
              <w:rPr>
                <w:rFonts w:hint="default" w:ascii="Times New Roman" w:hAnsi="Times New Roman" w:eastAsia="宋体" w:cs="Times New Roman"/>
                <w:b w:val="0"/>
                <w:bCs w:val="0"/>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1.5</w:t>
            </w:r>
            <w:r>
              <w:rPr>
                <w:rFonts w:hint="default" w:ascii="Times New Roman" w:hAnsi="Times New Roman" w:eastAsia="宋体" w:cs="Times New Roman"/>
                <w:b w:val="0"/>
                <w:bCs w:val="0"/>
                <w:color w:val="auto"/>
                <w:sz w:val="21"/>
                <w:szCs w:val="21"/>
              </w:rPr>
              <w:t>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+1.5</w:t>
            </w:r>
            <w:r>
              <w:rPr>
                <w:rFonts w:hint="default" w:ascii="Times New Roman" w:hAnsi="Times New Roman" w:eastAsia="宋体" w:cs="Times New Roman"/>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旱厕粪便</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snapToGrid w:val="0"/>
                <w:color w:val="auto"/>
                <w:kern w:val="21"/>
                <w:sz w:val="21"/>
                <w:szCs w:val="21"/>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snapToGrid w:val="0"/>
                <w:color w:val="auto"/>
                <w:kern w:val="21"/>
                <w:sz w:val="21"/>
                <w:szCs w:val="21"/>
                <w:lang w:val="en-US" w:eastAsia="zh-CN"/>
              </w:rPr>
              <w:t>废泥土</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eastAsia="宋体" w:cs="Times New Roman"/>
                <w:b w:val="0"/>
                <w:bCs w:val="0"/>
                <w:color w:val="auto"/>
                <w:sz w:val="21"/>
                <w:szCs w:val="21"/>
                <w:highlight w:val="none"/>
                <w:lang w:val="en-US" w:eastAsia="zh-CN"/>
              </w:rPr>
              <w:t>10000t/a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10000t/a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+10000t/a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沉淀池池渣</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snapToGrid w:val="0"/>
                <w:color w:val="auto"/>
                <w:kern w:val="21"/>
                <w:sz w:val="21"/>
                <w:szCs w:val="21"/>
                <w:lang w:val="en-US" w:eastAsia="zh-CN"/>
              </w:rPr>
              <w:t>+0.1</w:t>
            </w:r>
            <w:r>
              <w:rPr>
                <w:rFonts w:hint="default" w:ascii="Times New Roman" w:hAnsi="Times New Roman" w:eastAsia="宋体" w:cs="Times New Roman"/>
                <w:b w:val="0"/>
                <w:bCs w:val="0"/>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color w:val="auto"/>
                <w:sz w:val="21"/>
                <w:szCs w:val="21"/>
                <w:highlight w:val="none"/>
                <w:lang w:eastAsia="zh-CN"/>
              </w:rPr>
              <w:t>废机油</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b w:val="0"/>
                <w:bCs w:val="0"/>
                <w:color w:val="auto"/>
                <w:sz w:val="21"/>
                <w:szCs w:val="21"/>
                <w:highlight w:val="none"/>
              </w:rPr>
              <w:t>0.</w:t>
            </w:r>
            <w:r>
              <w:rPr>
                <w:rFonts w:hint="eastAsia" w:ascii="Times New Roman" w:hAnsi="Times New Roman" w:cs="Times New Roman"/>
                <w:b w:val="0"/>
                <w:bCs w:val="0"/>
                <w:color w:val="auto"/>
                <w:sz w:val="21"/>
                <w:szCs w:val="21"/>
                <w:highlight w:val="none"/>
                <w:lang w:val="en-US" w:eastAsia="zh-CN"/>
              </w:rPr>
              <w:t>05</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default" w:ascii="Times New Roman" w:hAnsi="Times New Roman" w:cs="Times New Roman"/>
                <w:b w:val="0"/>
                <w:bCs w:val="0"/>
                <w:color w:val="auto"/>
                <w:sz w:val="21"/>
                <w:szCs w:val="21"/>
                <w:highlight w:val="none"/>
              </w:rPr>
              <w:t>0.</w:t>
            </w:r>
            <w:r>
              <w:rPr>
                <w:rFonts w:hint="eastAsia" w:ascii="Times New Roman" w:hAnsi="Times New Roman" w:cs="Times New Roman"/>
                <w:b w:val="0"/>
                <w:bCs w:val="0"/>
                <w:color w:val="auto"/>
                <w:sz w:val="21"/>
                <w:szCs w:val="21"/>
                <w:highlight w:val="none"/>
                <w:lang w:val="en-US" w:eastAsia="zh-CN"/>
              </w:rPr>
              <w:t>05</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rPr>
              <w:t>0.</w:t>
            </w:r>
            <w:r>
              <w:rPr>
                <w:rFonts w:hint="eastAsia" w:ascii="Times New Roman" w:hAnsi="Times New Roman" w:cs="Times New Roman"/>
                <w:b w:val="0"/>
                <w:bCs w:val="0"/>
                <w:color w:val="auto"/>
                <w:sz w:val="21"/>
                <w:szCs w:val="21"/>
                <w:highlight w:val="none"/>
                <w:lang w:val="en-US" w:eastAsia="zh-CN"/>
              </w:rPr>
              <w:t>05</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91" w:type="dxa"/>
            <w:vMerge w:val="continue"/>
            <w:vAlign w:val="center"/>
          </w:tcPr>
          <w:p>
            <w:pPr>
              <w:pStyle w:val="46"/>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p>
        </w:tc>
        <w:tc>
          <w:tcPr>
            <w:tcW w:w="138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cs="Times New Roman" w:eastAsiaTheme="minorEastAsia"/>
                <w:b w:val="0"/>
                <w:bCs w:val="0"/>
                <w:snapToGrid w:val="0"/>
                <w:color w:val="auto"/>
                <w:kern w:val="21"/>
                <w:sz w:val="21"/>
                <w:szCs w:val="21"/>
                <w:lang w:eastAsia="zh-CN"/>
              </w:rPr>
            </w:pPr>
            <w:r>
              <w:rPr>
                <w:rFonts w:hint="eastAsia" w:ascii="Times New Roman" w:hAnsi="Times New Roman" w:cs="Times New Roman"/>
                <w:b w:val="0"/>
                <w:bCs w:val="0"/>
                <w:color w:val="auto"/>
                <w:sz w:val="21"/>
                <w:szCs w:val="21"/>
                <w:highlight w:val="none"/>
                <w:lang w:eastAsia="zh-CN"/>
              </w:rPr>
              <w:t>废机油桶</w:t>
            </w:r>
          </w:p>
        </w:tc>
        <w:tc>
          <w:tcPr>
            <w:tcW w:w="1776"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195"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1878" w:type="dxa"/>
            <w:vAlign w:val="center"/>
          </w:tcPr>
          <w:p>
            <w:pPr>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w:t>
            </w:r>
          </w:p>
        </w:tc>
        <w:tc>
          <w:tcPr>
            <w:tcW w:w="2031"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0.01</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825" w:type="dxa"/>
            <w:vAlign w:val="center"/>
          </w:tcPr>
          <w:p>
            <w:pPr>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default" w:ascii="Times New Roman" w:hAnsi="Times New Roman" w:cs="Times New Roman"/>
                <w:snapToGrid w:val="0"/>
                <w:color w:val="auto"/>
                <w:kern w:val="21"/>
                <w:sz w:val="21"/>
                <w:szCs w:val="21"/>
                <w:lang w:val="en-US" w:eastAsia="zh-CN"/>
              </w:rPr>
              <w:t>0</w:t>
            </w:r>
          </w:p>
        </w:tc>
        <w:tc>
          <w:tcPr>
            <w:tcW w:w="2235"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eastAsiaTheme="minorEastAsia"/>
                <w:b w:val="0"/>
                <w:bCs w:val="0"/>
                <w:snapToGrid w:val="0"/>
                <w:color w:val="auto"/>
                <w:kern w:val="21"/>
                <w:sz w:val="21"/>
                <w:szCs w:val="21"/>
                <w:lang w:val="en-US" w:eastAsia="zh-CN"/>
              </w:rPr>
            </w:pPr>
            <w:r>
              <w:rPr>
                <w:rFonts w:hint="eastAsia" w:ascii="Times New Roman" w:hAnsi="Times New Roman" w:cs="Times New Roman"/>
                <w:b w:val="0"/>
                <w:bCs w:val="0"/>
                <w:snapToGrid w:val="0"/>
                <w:color w:val="auto"/>
                <w:kern w:val="21"/>
                <w:sz w:val="21"/>
                <w:szCs w:val="21"/>
                <w:lang w:val="en-US" w:eastAsia="zh-CN"/>
              </w:rPr>
              <w:t>0.01</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c>
          <w:tcPr>
            <w:tcW w:w="1677" w:type="dxa"/>
            <w:vAlign w:val="center"/>
          </w:tcPr>
          <w:p>
            <w:pPr>
              <w:pStyle w:val="2"/>
              <w:keepLines w:val="0"/>
              <w:pageBreakBefore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val="0"/>
                <w:bCs w:val="0"/>
                <w:snapToGrid w:val="0"/>
                <w:color w:val="auto"/>
                <w:kern w:val="21"/>
                <w:sz w:val="21"/>
                <w:szCs w:val="21"/>
              </w:rPr>
            </w:pPr>
            <w:r>
              <w:rPr>
                <w:rFonts w:hint="eastAsia" w:ascii="Times New Roman" w:hAnsi="Times New Roman" w:cs="Times New Roman"/>
                <w:b w:val="0"/>
                <w:bCs w:val="0"/>
                <w:snapToGrid w:val="0"/>
                <w:color w:val="auto"/>
                <w:kern w:val="21"/>
                <w:sz w:val="21"/>
                <w:szCs w:val="21"/>
                <w:lang w:val="en-US" w:eastAsia="zh-CN"/>
              </w:rPr>
              <w:t>+0.01</w:t>
            </w:r>
            <w:r>
              <w:rPr>
                <w:rFonts w:hint="default" w:ascii="Times New Roman" w:hAnsi="Times New Roman" w:cs="Times New Roman"/>
                <w:b w:val="0"/>
                <w:bCs w:val="0"/>
                <w:color w:val="auto"/>
                <w:sz w:val="21"/>
                <w:szCs w:val="21"/>
                <w:highlight w:val="none"/>
              </w:rPr>
              <w:t>t</w:t>
            </w:r>
            <w:r>
              <w:rPr>
                <w:rFonts w:hint="eastAsia" w:ascii="Times New Roman" w:hAnsi="Times New Roman" w:cs="Times New Roman"/>
                <w:b w:val="0"/>
                <w:bCs w:val="0"/>
                <w:color w:val="auto"/>
                <w:sz w:val="21"/>
                <w:szCs w:val="21"/>
                <w:highlight w:val="none"/>
                <w:lang w:val="en-US" w:eastAsia="zh-CN"/>
              </w:rPr>
              <w:t>/a</w:t>
            </w:r>
          </w:p>
        </w:tc>
      </w:tr>
    </w:tbl>
    <w:p>
      <w:pPr>
        <w:pStyle w:val="46"/>
        <w:spacing w:before="249" w:beforeLines="80" w:after="24"/>
        <w:ind w:left="0" w:leftChars="0" w:firstLine="0" w:firstLineChars="0"/>
        <w:jc w:val="left"/>
        <w:rPr>
          <w:rFonts w:hint="eastAsia" w:ascii="Times New Roman" w:hAnsi="Times New Roman" w:eastAsia="宋体" w:cs="Times New Roman"/>
          <w:b w:val="0"/>
          <w:bCs/>
          <w:color w:val="auto"/>
          <w:sz w:val="24"/>
          <w:szCs w:val="24"/>
          <w:highlight w:val="none"/>
          <w:lang w:val="en-US" w:eastAsia="zh-CN"/>
        </w:rPr>
      </w:pPr>
      <w:r>
        <w:rPr>
          <w:rFonts w:ascii="Times New Roman" w:hAnsi="Times New Roman" w:cs="Times New Roman"/>
          <w:snapToGrid w:val="0"/>
          <w:color w:val="auto"/>
          <w:kern w:val="21"/>
          <w:szCs w:val="21"/>
        </w:rPr>
        <w:t>注：</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6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szCs w:val="21"/>
        </w:rPr>
        <w:t>⑥</w:t>
      </w:r>
      <w:r>
        <w:rPr>
          <w:rFonts w:ascii="Times New Roman" w:hAnsi="Times New Roman" w:cs="Times New Roman"/>
          <w:snapToGrid w:val="0"/>
          <w:color w:val="auto"/>
          <w:spacing w:val="-16"/>
          <w:kern w:val="21"/>
          <w:szCs w:val="21"/>
        </w:rPr>
        <w:fldChar w:fldCharType="end"/>
      </w:r>
      <w:r>
        <w:rPr>
          <w:rFonts w:ascii="Times New Roman" w:hAnsi="Times New Roman" w:cs="Times New Roman"/>
          <w:snapToGrid w:val="0"/>
          <w:color w:val="auto"/>
          <w:spacing w:val="-1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1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①</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3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③</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4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④</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5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szCs w:val="21"/>
        </w:rPr>
        <w:t>⑤</w:t>
      </w:r>
      <w:r>
        <w:rPr>
          <w:rFonts w:ascii="Times New Roman" w:hAnsi="Times New Roman" w:cs="Times New Roman"/>
          <w:snapToGrid w:val="0"/>
          <w:color w:val="auto"/>
          <w:spacing w:val="-16"/>
          <w:kern w:val="21"/>
          <w:szCs w:val="21"/>
        </w:rPr>
        <w:fldChar w:fldCharType="end"/>
      </w:r>
      <w:r>
        <w:rPr>
          <w:rFonts w:ascii="Times New Roman" w:hAnsi="Times New Roman" w:cs="Times New Roman"/>
          <w:snapToGrid w:val="0"/>
          <w:color w:val="auto"/>
          <w:spacing w:val="-16"/>
          <w:kern w:val="21"/>
          <w:szCs w:val="21"/>
        </w:rPr>
        <w:t>；</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7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szCs w:val="21"/>
        </w:rPr>
        <w:t>⑦</w:t>
      </w:r>
      <w:r>
        <w:rPr>
          <w:rFonts w:ascii="Times New Roman" w:hAnsi="Times New Roman" w:cs="Times New Roman"/>
          <w:snapToGrid w:val="0"/>
          <w:color w:val="auto"/>
          <w:spacing w:val="-6"/>
          <w:kern w:val="21"/>
          <w:szCs w:val="21"/>
        </w:rPr>
        <w:fldChar w:fldCharType="end"/>
      </w:r>
      <w:r>
        <w:rPr>
          <w:rFonts w:ascii="Times New Roman" w:hAnsi="Times New Roman" w:cs="Times New Roman"/>
          <w:snapToGrid w:val="0"/>
          <w:color w:val="auto"/>
          <w:spacing w:val="-6"/>
          <w:kern w:val="21"/>
          <w:szCs w:val="21"/>
        </w:rPr>
        <w:t>=</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6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szCs w:val="21"/>
        </w:rPr>
        <w:t>⑥</w:t>
      </w:r>
      <w:r>
        <w:rPr>
          <w:rFonts w:ascii="Times New Roman" w:hAnsi="Times New Roman" w:cs="Times New Roman"/>
          <w:snapToGrid w:val="0"/>
          <w:color w:val="auto"/>
          <w:spacing w:val="-16"/>
          <w:kern w:val="21"/>
          <w:szCs w:val="21"/>
        </w:rPr>
        <w:fldChar w:fldCharType="end"/>
      </w:r>
      <w:r>
        <w:rPr>
          <w:rFonts w:ascii="Times New Roman" w:hAnsi="Times New Roman" w:cs="Times New Roman"/>
          <w:snapToGrid w:val="0"/>
          <w:color w:val="auto"/>
          <w:spacing w:val="-16"/>
          <w:kern w:val="21"/>
          <w:szCs w:val="21"/>
        </w:rPr>
        <w:t>-</w:t>
      </w:r>
      <w:bookmarkEnd w:id="52"/>
      <w:r>
        <w:rPr>
          <w:rFonts w:hint="default" w:ascii="Times New Roman" w:hAnsi="Times New Roman" w:eastAsia="黑体" w:cs="Times New Roman"/>
          <w:b w:val="0"/>
          <w:bCs w:val="0"/>
          <w:snapToGrid w:val="0"/>
          <w:color w:val="auto"/>
          <w:spacing w:val="-6"/>
          <w:kern w:val="21"/>
          <w:sz w:val="24"/>
          <w:szCs w:val="24"/>
        </w:rPr>
        <w:fldChar w:fldCharType="begin"/>
      </w:r>
      <w:r>
        <w:rPr>
          <w:rFonts w:hint="default" w:ascii="Times New Roman" w:hAnsi="Times New Roman" w:eastAsia="黑体" w:cs="Times New Roman"/>
          <w:b w:val="0"/>
          <w:bCs w:val="0"/>
          <w:snapToGrid w:val="0"/>
          <w:color w:val="auto"/>
          <w:spacing w:val="-6"/>
          <w:kern w:val="21"/>
          <w:sz w:val="24"/>
          <w:szCs w:val="24"/>
        </w:rPr>
        <w:instrText xml:space="preserve"> = 1 \* GB3 \* MERGEFORMAT </w:instrText>
      </w:r>
      <w:r>
        <w:rPr>
          <w:rFonts w:hint="default" w:ascii="Times New Roman" w:hAnsi="Times New Roman" w:eastAsia="黑体" w:cs="Times New Roman"/>
          <w:b w:val="0"/>
          <w:bCs w:val="0"/>
          <w:snapToGrid w:val="0"/>
          <w:color w:val="auto"/>
          <w:spacing w:val="-6"/>
          <w:kern w:val="21"/>
          <w:sz w:val="24"/>
          <w:szCs w:val="24"/>
        </w:rPr>
        <w:fldChar w:fldCharType="separate"/>
      </w:r>
      <w:r>
        <w:rPr>
          <w:rFonts w:hint="default" w:ascii="Times New Roman" w:hAnsi="Times New Roman" w:eastAsia="黑体" w:cs="Times New Roman"/>
          <w:b w:val="0"/>
          <w:bCs w:val="0"/>
          <w:color w:val="auto"/>
          <w:kern w:val="2"/>
          <w:sz w:val="24"/>
          <w:szCs w:val="24"/>
        </w:rPr>
        <w:t>①</w:t>
      </w:r>
      <w:r>
        <w:rPr>
          <w:rFonts w:hint="default" w:ascii="Times New Roman" w:hAnsi="Times New Roman" w:eastAsia="黑体" w:cs="Times New Roman"/>
          <w:b w:val="0"/>
          <w:bCs w:val="0"/>
          <w:snapToGrid w:val="0"/>
          <w:color w:val="auto"/>
          <w:spacing w:val="-6"/>
          <w:kern w:val="21"/>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sectPr>
      <w:footerReference r:id="rId6" w:type="default"/>
      <w:pgSz w:w="16838" w:h="11906" w:orient="landscape"/>
      <w:pgMar w:top="1417" w:right="646" w:bottom="1417" w:left="646"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7380-Identity-H">
    <w:altName w:val="宋体"/>
    <w:panose1 w:val="00000000000000000000"/>
    <w:charset w:val="86"/>
    <w:family w:val="auto"/>
    <w:pitch w:val="default"/>
    <w:sig w:usb0="00000000" w:usb1="00000000" w:usb2="00000000" w:usb3="00000000" w:csb0="00040000" w:csb1="00000000"/>
  </w:font>
  <w:font w:name="*Adobe Song Std L-Bold-7378-Ide">
    <w:altName w:val="Segoe Print"/>
    <w:panose1 w:val="00000000000000000000"/>
    <w:charset w:val="00"/>
    <w:family w:val="auto"/>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00" w:usb3="00000000" w:csb0="00020000"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6"/>
        <w:tab w:val="right" w:pos="9192"/>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6"/>
        <w:tab w:val="right" w:pos="9192"/>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BD265"/>
    <w:multiLevelType w:val="singleLevel"/>
    <w:tmpl w:val="B8FBD265"/>
    <w:lvl w:ilvl="0" w:tentative="0">
      <w:start w:val="1"/>
      <w:numFmt w:val="decimal"/>
      <w:suff w:val="nothing"/>
      <w:lvlText w:val="%1、"/>
      <w:lvlJc w:val="left"/>
    </w:lvl>
  </w:abstractNum>
  <w:abstractNum w:abstractNumId="1">
    <w:nsid w:val="DA8DEBE5"/>
    <w:multiLevelType w:val="singleLevel"/>
    <w:tmpl w:val="DA8DEBE5"/>
    <w:lvl w:ilvl="0" w:tentative="0">
      <w:start w:val="1"/>
      <w:numFmt w:val="decimal"/>
      <w:suff w:val="nothing"/>
      <w:lvlText w:val="%1、"/>
      <w:lvlJc w:val="left"/>
    </w:lvl>
  </w:abstractNum>
  <w:abstractNum w:abstractNumId="2">
    <w:nsid w:val="13666A03"/>
    <w:multiLevelType w:val="singleLevel"/>
    <w:tmpl w:val="13666A03"/>
    <w:lvl w:ilvl="0" w:tentative="0">
      <w:start w:val="1"/>
      <w:numFmt w:val="decimal"/>
      <w:suff w:val="nothing"/>
      <w:lvlText w:val="%1、"/>
      <w:lvlJc w:val="left"/>
    </w:lvl>
  </w:abstractNum>
  <w:abstractNum w:abstractNumId="3">
    <w:nsid w:val="248324FD"/>
    <w:multiLevelType w:val="singleLevel"/>
    <w:tmpl w:val="248324FD"/>
    <w:lvl w:ilvl="0" w:tentative="0">
      <w:start w:val="1"/>
      <w:numFmt w:val="chineseCounting"/>
      <w:suff w:val="nothing"/>
      <w:lvlText w:val="（%1）"/>
      <w:lvlJc w:val="left"/>
      <w:pPr>
        <w:ind w:left="490" w:leftChars="0" w:firstLine="0" w:firstLineChars="0"/>
      </w:pPr>
      <w:rPr>
        <w:rFonts w:hint="eastAsia"/>
      </w:rPr>
    </w:lvl>
  </w:abstractNum>
  <w:abstractNum w:abstractNumId="4">
    <w:nsid w:val="34FBD48F"/>
    <w:multiLevelType w:val="singleLevel"/>
    <w:tmpl w:val="34FBD48F"/>
    <w:lvl w:ilvl="0" w:tentative="0">
      <w:start w:val="1"/>
      <w:numFmt w:val="lowerLetter"/>
      <w:suff w:val="nothing"/>
      <w:lvlText w:val="%1）"/>
      <w:lvlJc w:val="left"/>
      <w:pPr>
        <w:ind w:left="602" w:firstLine="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Y3MTAzZGQwNDQ1YjFkYTU5ZmNmNzQ5MDAwNzQifQ=="/>
  </w:docVars>
  <w:rsids>
    <w:rsidRoot w:val="00172A27"/>
    <w:rsid w:val="00004AD5"/>
    <w:rsid w:val="0001260C"/>
    <w:rsid w:val="00012944"/>
    <w:rsid w:val="00014229"/>
    <w:rsid w:val="00015F1F"/>
    <w:rsid w:val="000170CD"/>
    <w:rsid w:val="000177F0"/>
    <w:rsid w:val="00017DF3"/>
    <w:rsid w:val="00021F02"/>
    <w:rsid w:val="0002783E"/>
    <w:rsid w:val="0003707B"/>
    <w:rsid w:val="00043C6E"/>
    <w:rsid w:val="00043CB5"/>
    <w:rsid w:val="000454F6"/>
    <w:rsid w:val="0004793A"/>
    <w:rsid w:val="000652BE"/>
    <w:rsid w:val="00073E1F"/>
    <w:rsid w:val="00080A11"/>
    <w:rsid w:val="00080A58"/>
    <w:rsid w:val="00080C24"/>
    <w:rsid w:val="00085994"/>
    <w:rsid w:val="0009218B"/>
    <w:rsid w:val="00093B7E"/>
    <w:rsid w:val="000A3298"/>
    <w:rsid w:val="000A58F5"/>
    <w:rsid w:val="000B260E"/>
    <w:rsid w:val="000B5215"/>
    <w:rsid w:val="000C5BB2"/>
    <w:rsid w:val="000C77D1"/>
    <w:rsid w:val="000D111D"/>
    <w:rsid w:val="000D59EB"/>
    <w:rsid w:val="000E2C8F"/>
    <w:rsid w:val="000E343D"/>
    <w:rsid w:val="000E7985"/>
    <w:rsid w:val="000F3109"/>
    <w:rsid w:val="000F632B"/>
    <w:rsid w:val="001009EA"/>
    <w:rsid w:val="00100A0E"/>
    <w:rsid w:val="00100A25"/>
    <w:rsid w:val="001037FE"/>
    <w:rsid w:val="00114B62"/>
    <w:rsid w:val="00135E07"/>
    <w:rsid w:val="00137557"/>
    <w:rsid w:val="001430F7"/>
    <w:rsid w:val="001656B4"/>
    <w:rsid w:val="00172A27"/>
    <w:rsid w:val="00181957"/>
    <w:rsid w:val="00183444"/>
    <w:rsid w:val="00184F7C"/>
    <w:rsid w:val="001957EB"/>
    <w:rsid w:val="001A17FB"/>
    <w:rsid w:val="001B02CA"/>
    <w:rsid w:val="001B4E93"/>
    <w:rsid w:val="001B623F"/>
    <w:rsid w:val="001B7AF6"/>
    <w:rsid w:val="001C059A"/>
    <w:rsid w:val="001D25AF"/>
    <w:rsid w:val="001D4A13"/>
    <w:rsid w:val="001E28BC"/>
    <w:rsid w:val="001E33B1"/>
    <w:rsid w:val="001E3CCF"/>
    <w:rsid w:val="001E4049"/>
    <w:rsid w:val="001F024E"/>
    <w:rsid w:val="001F49C6"/>
    <w:rsid w:val="001F5F1F"/>
    <w:rsid w:val="00201C17"/>
    <w:rsid w:val="00204860"/>
    <w:rsid w:val="00211863"/>
    <w:rsid w:val="002151EE"/>
    <w:rsid w:val="00221BE5"/>
    <w:rsid w:val="00223B71"/>
    <w:rsid w:val="00236826"/>
    <w:rsid w:val="00236A38"/>
    <w:rsid w:val="002410F1"/>
    <w:rsid w:val="002412B7"/>
    <w:rsid w:val="00261BDD"/>
    <w:rsid w:val="002625B9"/>
    <w:rsid w:val="002630BB"/>
    <w:rsid w:val="002714D9"/>
    <w:rsid w:val="0028664D"/>
    <w:rsid w:val="00287A70"/>
    <w:rsid w:val="00291F29"/>
    <w:rsid w:val="00292460"/>
    <w:rsid w:val="00292464"/>
    <w:rsid w:val="00292604"/>
    <w:rsid w:val="00292F81"/>
    <w:rsid w:val="00294025"/>
    <w:rsid w:val="002942AE"/>
    <w:rsid w:val="00294C48"/>
    <w:rsid w:val="002A0E18"/>
    <w:rsid w:val="002A67AF"/>
    <w:rsid w:val="002A75C2"/>
    <w:rsid w:val="002B00D4"/>
    <w:rsid w:val="002B7536"/>
    <w:rsid w:val="002C6243"/>
    <w:rsid w:val="002C7014"/>
    <w:rsid w:val="002D68CE"/>
    <w:rsid w:val="002D7786"/>
    <w:rsid w:val="002F00D2"/>
    <w:rsid w:val="002F18AA"/>
    <w:rsid w:val="002F2EBD"/>
    <w:rsid w:val="00310DBF"/>
    <w:rsid w:val="00316394"/>
    <w:rsid w:val="00321A9E"/>
    <w:rsid w:val="00322EDE"/>
    <w:rsid w:val="00342972"/>
    <w:rsid w:val="00346B6B"/>
    <w:rsid w:val="0035101F"/>
    <w:rsid w:val="00351BF5"/>
    <w:rsid w:val="00352B76"/>
    <w:rsid w:val="00361D57"/>
    <w:rsid w:val="00362A28"/>
    <w:rsid w:val="0036567D"/>
    <w:rsid w:val="003715C6"/>
    <w:rsid w:val="003819FF"/>
    <w:rsid w:val="0038532A"/>
    <w:rsid w:val="00385E4B"/>
    <w:rsid w:val="003A082C"/>
    <w:rsid w:val="003A494D"/>
    <w:rsid w:val="003A5FBE"/>
    <w:rsid w:val="003B16AD"/>
    <w:rsid w:val="003B18FD"/>
    <w:rsid w:val="003B7F9A"/>
    <w:rsid w:val="003C1366"/>
    <w:rsid w:val="003D002C"/>
    <w:rsid w:val="003D1991"/>
    <w:rsid w:val="003D2E9B"/>
    <w:rsid w:val="003D47CE"/>
    <w:rsid w:val="003F1679"/>
    <w:rsid w:val="003F69FD"/>
    <w:rsid w:val="00403EC2"/>
    <w:rsid w:val="00421BFE"/>
    <w:rsid w:val="00430402"/>
    <w:rsid w:val="0043042B"/>
    <w:rsid w:val="004373BA"/>
    <w:rsid w:val="0044222C"/>
    <w:rsid w:val="00444F51"/>
    <w:rsid w:val="00461A13"/>
    <w:rsid w:val="0047018D"/>
    <w:rsid w:val="00470C3A"/>
    <w:rsid w:val="004712B9"/>
    <w:rsid w:val="00473D92"/>
    <w:rsid w:val="00475DA0"/>
    <w:rsid w:val="00485162"/>
    <w:rsid w:val="004924D4"/>
    <w:rsid w:val="00492856"/>
    <w:rsid w:val="00493695"/>
    <w:rsid w:val="0049420E"/>
    <w:rsid w:val="004A3EF0"/>
    <w:rsid w:val="004B3797"/>
    <w:rsid w:val="004C785F"/>
    <w:rsid w:val="004E2CDF"/>
    <w:rsid w:val="004E34FD"/>
    <w:rsid w:val="004E498F"/>
    <w:rsid w:val="004E6786"/>
    <w:rsid w:val="004F09C5"/>
    <w:rsid w:val="004F26BE"/>
    <w:rsid w:val="004F6A9C"/>
    <w:rsid w:val="00502E2C"/>
    <w:rsid w:val="005076E9"/>
    <w:rsid w:val="00512B78"/>
    <w:rsid w:val="0051499B"/>
    <w:rsid w:val="00516081"/>
    <w:rsid w:val="005204D2"/>
    <w:rsid w:val="00533237"/>
    <w:rsid w:val="005415A4"/>
    <w:rsid w:val="005467D5"/>
    <w:rsid w:val="005476BB"/>
    <w:rsid w:val="00567845"/>
    <w:rsid w:val="005678C9"/>
    <w:rsid w:val="00573D9B"/>
    <w:rsid w:val="0057588B"/>
    <w:rsid w:val="0059188E"/>
    <w:rsid w:val="0059303A"/>
    <w:rsid w:val="00593930"/>
    <w:rsid w:val="00596149"/>
    <w:rsid w:val="0059790F"/>
    <w:rsid w:val="005A13C4"/>
    <w:rsid w:val="005A1663"/>
    <w:rsid w:val="005A48E5"/>
    <w:rsid w:val="005A4FF2"/>
    <w:rsid w:val="005B2690"/>
    <w:rsid w:val="005B62FC"/>
    <w:rsid w:val="005B6BAA"/>
    <w:rsid w:val="005C6EC0"/>
    <w:rsid w:val="005D6BF3"/>
    <w:rsid w:val="005E2D62"/>
    <w:rsid w:val="005E62B5"/>
    <w:rsid w:val="005F1106"/>
    <w:rsid w:val="005F3D68"/>
    <w:rsid w:val="005F3F6E"/>
    <w:rsid w:val="005F5E6D"/>
    <w:rsid w:val="006039D0"/>
    <w:rsid w:val="00604F92"/>
    <w:rsid w:val="00605D65"/>
    <w:rsid w:val="00610068"/>
    <w:rsid w:val="00612759"/>
    <w:rsid w:val="0062262D"/>
    <w:rsid w:val="00626A85"/>
    <w:rsid w:val="006301EE"/>
    <w:rsid w:val="0063229C"/>
    <w:rsid w:val="006356F6"/>
    <w:rsid w:val="00642C90"/>
    <w:rsid w:val="0065318F"/>
    <w:rsid w:val="00657B09"/>
    <w:rsid w:val="00660AE5"/>
    <w:rsid w:val="006619B9"/>
    <w:rsid w:val="006629FA"/>
    <w:rsid w:val="006630C1"/>
    <w:rsid w:val="0066795A"/>
    <w:rsid w:val="00691D51"/>
    <w:rsid w:val="0069276F"/>
    <w:rsid w:val="0069583E"/>
    <w:rsid w:val="00697F25"/>
    <w:rsid w:val="00697F7C"/>
    <w:rsid w:val="006A0F0F"/>
    <w:rsid w:val="006A0FEC"/>
    <w:rsid w:val="006A14EA"/>
    <w:rsid w:val="006A1F11"/>
    <w:rsid w:val="006A5113"/>
    <w:rsid w:val="006B276B"/>
    <w:rsid w:val="006B79E4"/>
    <w:rsid w:val="006B7D00"/>
    <w:rsid w:val="006C68E5"/>
    <w:rsid w:val="006D45AB"/>
    <w:rsid w:val="006D6686"/>
    <w:rsid w:val="006F0309"/>
    <w:rsid w:val="006F755C"/>
    <w:rsid w:val="00705DF1"/>
    <w:rsid w:val="00724429"/>
    <w:rsid w:val="00724552"/>
    <w:rsid w:val="00724BDC"/>
    <w:rsid w:val="00726456"/>
    <w:rsid w:val="007313CF"/>
    <w:rsid w:val="0074268E"/>
    <w:rsid w:val="00742AEC"/>
    <w:rsid w:val="00761056"/>
    <w:rsid w:val="00764357"/>
    <w:rsid w:val="0076555D"/>
    <w:rsid w:val="00766629"/>
    <w:rsid w:val="00770BDF"/>
    <w:rsid w:val="0077335B"/>
    <w:rsid w:val="00776EE9"/>
    <w:rsid w:val="00786112"/>
    <w:rsid w:val="0078681B"/>
    <w:rsid w:val="00790FD6"/>
    <w:rsid w:val="007A2DEA"/>
    <w:rsid w:val="007A4DD2"/>
    <w:rsid w:val="007B0F20"/>
    <w:rsid w:val="007B4712"/>
    <w:rsid w:val="007B74B4"/>
    <w:rsid w:val="007B7892"/>
    <w:rsid w:val="007C2F91"/>
    <w:rsid w:val="007D1986"/>
    <w:rsid w:val="007D370C"/>
    <w:rsid w:val="00800A20"/>
    <w:rsid w:val="00812F85"/>
    <w:rsid w:val="008145DF"/>
    <w:rsid w:val="00814DE3"/>
    <w:rsid w:val="00816E56"/>
    <w:rsid w:val="00817AC3"/>
    <w:rsid w:val="00821465"/>
    <w:rsid w:val="00840DE7"/>
    <w:rsid w:val="0084230F"/>
    <w:rsid w:val="00852295"/>
    <w:rsid w:val="00852428"/>
    <w:rsid w:val="00852DF4"/>
    <w:rsid w:val="008538A3"/>
    <w:rsid w:val="00856CA8"/>
    <w:rsid w:val="00862ECE"/>
    <w:rsid w:val="00877A03"/>
    <w:rsid w:val="008831B0"/>
    <w:rsid w:val="00885274"/>
    <w:rsid w:val="008860FE"/>
    <w:rsid w:val="00891043"/>
    <w:rsid w:val="008A2436"/>
    <w:rsid w:val="008C3DC2"/>
    <w:rsid w:val="008D0F06"/>
    <w:rsid w:val="008D119A"/>
    <w:rsid w:val="008E0F1F"/>
    <w:rsid w:val="008E651B"/>
    <w:rsid w:val="008F2552"/>
    <w:rsid w:val="008F259D"/>
    <w:rsid w:val="008F2B07"/>
    <w:rsid w:val="008F5B59"/>
    <w:rsid w:val="008F63D3"/>
    <w:rsid w:val="009165A7"/>
    <w:rsid w:val="00916C71"/>
    <w:rsid w:val="009215B0"/>
    <w:rsid w:val="0092400C"/>
    <w:rsid w:val="00925B25"/>
    <w:rsid w:val="00926C78"/>
    <w:rsid w:val="00927346"/>
    <w:rsid w:val="00931AC8"/>
    <w:rsid w:val="0093526B"/>
    <w:rsid w:val="009419B6"/>
    <w:rsid w:val="00942671"/>
    <w:rsid w:val="00947C75"/>
    <w:rsid w:val="0095340A"/>
    <w:rsid w:val="00970C9D"/>
    <w:rsid w:val="00972ACB"/>
    <w:rsid w:val="00972FA2"/>
    <w:rsid w:val="00980D4D"/>
    <w:rsid w:val="00993AC9"/>
    <w:rsid w:val="009A1B53"/>
    <w:rsid w:val="009A5653"/>
    <w:rsid w:val="009A7CAB"/>
    <w:rsid w:val="009C28D2"/>
    <w:rsid w:val="009D04E9"/>
    <w:rsid w:val="009D1797"/>
    <w:rsid w:val="009D3F6D"/>
    <w:rsid w:val="009E319D"/>
    <w:rsid w:val="009F04B5"/>
    <w:rsid w:val="00A00475"/>
    <w:rsid w:val="00A05EE1"/>
    <w:rsid w:val="00A0737C"/>
    <w:rsid w:val="00A10993"/>
    <w:rsid w:val="00A2304F"/>
    <w:rsid w:val="00A2402D"/>
    <w:rsid w:val="00A2589B"/>
    <w:rsid w:val="00A41024"/>
    <w:rsid w:val="00A433B8"/>
    <w:rsid w:val="00A44B98"/>
    <w:rsid w:val="00A53589"/>
    <w:rsid w:val="00A60235"/>
    <w:rsid w:val="00A72A34"/>
    <w:rsid w:val="00A837C0"/>
    <w:rsid w:val="00A8787A"/>
    <w:rsid w:val="00A946FF"/>
    <w:rsid w:val="00AA4FCB"/>
    <w:rsid w:val="00AC4ED5"/>
    <w:rsid w:val="00AD052D"/>
    <w:rsid w:val="00AD0C55"/>
    <w:rsid w:val="00AD2202"/>
    <w:rsid w:val="00AE354C"/>
    <w:rsid w:val="00AE48CE"/>
    <w:rsid w:val="00AF2261"/>
    <w:rsid w:val="00B00A64"/>
    <w:rsid w:val="00B0162E"/>
    <w:rsid w:val="00B03D4F"/>
    <w:rsid w:val="00B12CB4"/>
    <w:rsid w:val="00B12F7F"/>
    <w:rsid w:val="00B1781C"/>
    <w:rsid w:val="00B22485"/>
    <w:rsid w:val="00B25F78"/>
    <w:rsid w:val="00B32E14"/>
    <w:rsid w:val="00B412BE"/>
    <w:rsid w:val="00B45299"/>
    <w:rsid w:val="00B4601B"/>
    <w:rsid w:val="00B55FFC"/>
    <w:rsid w:val="00B62146"/>
    <w:rsid w:val="00B637D1"/>
    <w:rsid w:val="00B65EA3"/>
    <w:rsid w:val="00B820BD"/>
    <w:rsid w:val="00B831E8"/>
    <w:rsid w:val="00B84EC5"/>
    <w:rsid w:val="00B8521F"/>
    <w:rsid w:val="00B85D6C"/>
    <w:rsid w:val="00B86380"/>
    <w:rsid w:val="00B867CA"/>
    <w:rsid w:val="00B91975"/>
    <w:rsid w:val="00B93E0A"/>
    <w:rsid w:val="00BA1788"/>
    <w:rsid w:val="00BB0C34"/>
    <w:rsid w:val="00BB6345"/>
    <w:rsid w:val="00BB7D8E"/>
    <w:rsid w:val="00BC2228"/>
    <w:rsid w:val="00BC5081"/>
    <w:rsid w:val="00BC74E6"/>
    <w:rsid w:val="00BD5207"/>
    <w:rsid w:val="00BD63FA"/>
    <w:rsid w:val="00BE7064"/>
    <w:rsid w:val="00BE7FB9"/>
    <w:rsid w:val="00BF52BD"/>
    <w:rsid w:val="00BF593C"/>
    <w:rsid w:val="00C018E9"/>
    <w:rsid w:val="00C237C2"/>
    <w:rsid w:val="00C242CE"/>
    <w:rsid w:val="00C25B91"/>
    <w:rsid w:val="00C27269"/>
    <w:rsid w:val="00C277AB"/>
    <w:rsid w:val="00C30F4E"/>
    <w:rsid w:val="00C31072"/>
    <w:rsid w:val="00C31229"/>
    <w:rsid w:val="00C31D83"/>
    <w:rsid w:val="00C35E3B"/>
    <w:rsid w:val="00C364AC"/>
    <w:rsid w:val="00C42281"/>
    <w:rsid w:val="00C60DCD"/>
    <w:rsid w:val="00C62A19"/>
    <w:rsid w:val="00C65125"/>
    <w:rsid w:val="00C76AC9"/>
    <w:rsid w:val="00C83EF1"/>
    <w:rsid w:val="00C84D03"/>
    <w:rsid w:val="00C90B31"/>
    <w:rsid w:val="00C93210"/>
    <w:rsid w:val="00C941E9"/>
    <w:rsid w:val="00CA23C9"/>
    <w:rsid w:val="00CA2CC7"/>
    <w:rsid w:val="00CB3BFE"/>
    <w:rsid w:val="00CD37AC"/>
    <w:rsid w:val="00CE66DD"/>
    <w:rsid w:val="00CE7999"/>
    <w:rsid w:val="00CF1C22"/>
    <w:rsid w:val="00CF3508"/>
    <w:rsid w:val="00D002E0"/>
    <w:rsid w:val="00D00CCA"/>
    <w:rsid w:val="00D042A5"/>
    <w:rsid w:val="00D05DFC"/>
    <w:rsid w:val="00D12FED"/>
    <w:rsid w:val="00D15420"/>
    <w:rsid w:val="00D16350"/>
    <w:rsid w:val="00D16974"/>
    <w:rsid w:val="00D24FF0"/>
    <w:rsid w:val="00D259AD"/>
    <w:rsid w:val="00D30C1F"/>
    <w:rsid w:val="00D328D6"/>
    <w:rsid w:val="00D32CF0"/>
    <w:rsid w:val="00D3750C"/>
    <w:rsid w:val="00D76134"/>
    <w:rsid w:val="00D82733"/>
    <w:rsid w:val="00D875F0"/>
    <w:rsid w:val="00D91A62"/>
    <w:rsid w:val="00D91BCD"/>
    <w:rsid w:val="00D95858"/>
    <w:rsid w:val="00DA02E7"/>
    <w:rsid w:val="00DB3555"/>
    <w:rsid w:val="00DB38E4"/>
    <w:rsid w:val="00DB526B"/>
    <w:rsid w:val="00DB696E"/>
    <w:rsid w:val="00DC41C5"/>
    <w:rsid w:val="00DD13EA"/>
    <w:rsid w:val="00DD3296"/>
    <w:rsid w:val="00DD4DA9"/>
    <w:rsid w:val="00DD6063"/>
    <w:rsid w:val="00DD63F6"/>
    <w:rsid w:val="00DE3FFA"/>
    <w:rsid w:val="00DE45A1"/>
    <w:rsid w:val="00DF021F"/>
    <w:rsid w:val="00DF21D3"/>
    <w:rsid w:val="00DF3489"/>
    <w:rsid w:val="00DF75FC"/>
    <w:rsid w:val="00E02573"/>
    <w:rsid w:val="00E03072"/>
    <w:rsid w:val="00E04943"/>
    <w:rsid w:val="00E07836"/>
    <w:rsid w:val="00E11309"/>
    <w:rsid w:val="00E15D35"/>
    <w:rsid w:val="00E213BA"/>
    <w:rsid w:val="00E224FE"/>
    <w:rsid w:val="00E243FC"/>
    <w:rsid w:val="00E458BC"/>
    <w:rsid w:val="00E4714A"/>
    <w:rsid w:val="00E6145C"/>
    <w:rsid w:val="00E62326"/>
    <w:rsid w:val="00E62ACD"/>
    <w:rsid w:val="00E66D23"/>
    <w:rsid w:val="00E7086F"/>
    <w:rsid w:val="00E72A5D"/>
    <w:rsid w:val="00E76682"/>
    <w:rsid w:val="00E77C17"/>
    <w:rsid w:val="00E86B7F"/>
    <w:rsid w:val="00E97434"/>
    <w:rsid w:val="00E97EAA"/>
    <w:rsid w:val="00EB2695"/>
    <w:rsid w:val="00EC116D"/>
    <w:rsid w:val="00EC2D5C"/>
    <w:rsid w:val="00EC4347"/>
    <w:rsid w:val="00EC5318"/>
    <w:rsid w:val="00EC6FC1"/>
    <w:rsid w:val="00ED2D6A"/>
    <w:rsid w:val="00ED4ABC"/>
    <w:rsid w:val="00EE5282"/>
    <w:rsid w:val="00EE714B"/>
    <w:rsid w:val="00EF21BB"/>
    <w:rsid w:val="00F1708C"/>
    <w:rsid w:val="00F201FF"/>
    <w:rsid w:val="00F339A6"/>
    <w:rsid w:val="00F370C7"/>
    <w:rsid w:val="00F44AB1"/>
    <w:rsid w:val="00F50CDF"/>
    <w:rsid w:val="00F51EC7"/>
    <w:rsid w:val="00F576DF"/>
    <w:rsid w:val="00F61342"/>
    <w:rsid w:val="00F62C10"/>
    <w:rsid w:val="00F648BE"/>
    <w:rsid w:val="00F65189"/>
    <w:rsid w:val="00F746BF"/>
    <w:rsid w:val="00F76C33"/>
    <w:rsid w:val="00F83436"/>
    <w:rsid w:val="00F852E5"/>
    <w:rsid w:val="00F932BE"/>
    <w:rsid w:val="00FA345F"/>
    <w:rsid w:val="00FA3544"/>
    <w:rsid w:val="00FA6516"/>
    <w:rsid w:val="00FC3FDA"/>
    <w:rsid w:val="00FD7645"/>
    <w:rsid w:val="00FD7B59"/>
    <w:rsid w:val="00FE471A"/>
    <w:rsid w:val="00FF0777"/>
    <w:rsid w:val="00FF292E"/>
    <w:rsid w:val="00FF626F"/>
    <w:rsid w:val="010333FC"/>
    <w:rsid w:val="01066A48"/>
    <w:rsid w:val="010D1AC6"/>
    <w:rsid w:val="010D427B"/>
    <w:rsid w:val="01121891"/>
    <w:rsid w:val="01161088"/>
    <w:rsid w:val="012D07DD"/>
    <w:rsid w:val="014454AF"/>
    <w:rsid w:val="0155209C"/>
    <w:rsid w:val="01641F13"/>
    <w:rsid w:val="017140F3"/>
    <w:rsid w:val="01836C52"/>
    <w:rsid w:val="01910A08"/>
    <w:rsid w:val="01B30A69"/>
    <w:rsid w:val="01C84151"/>
    <w:rsid w:val="01D562C3"/>
    <w:rsid w:val="01E0373D"/>
    <w:rsid w:val="01EE7C08"/>
    <w:rsid w:val="01F114A6"/>
    <w:rsid w:val="01F80A87"/>
    <w:rsid w:val="020411DA"/>
    <w:rsid w:val="020D58CF"/>
    <w:rsid w:val="020F4ADB"/>
    <w:rsid w:val="02153168"/>
    <w:rsid w:val="021D229B"/>
    <w:rsid w:val="021F4E94"/>
    <w:rsid w:val="02273EF2"/>
    <w:rsid w:val="02274EC8"/>
    <w:rsid w:val="02290C40"/>
    <w:rsid w:val="02317AF5"/>
    <w:rsid w:val="02324887"/>
    <w:rsid w:val="02377801"/>
    <w:rsid w:val="024424C3"/>
    <w:rsid w:val="0259781F"/>
    <w:rsid w:val="025A34EF"/>
    <w:rsid w:val="026D3302"/>
    <w:rsid w:val="02773636"/>
    <w:rsid w:val="0279309D"/>
    <w:rsid w:val="02804BE3"/>
    <w:rsid w:val="02922AF0"/>
    <w:rsid w:val="02AB1FCD"/>
    <w:rsid w:val="02AD7AC3"/>
    <w:rsid w:val="02B80216"/>
    <w:rsid w:val="02BC3862"/>
    <w:rsid w:val="02BD44BD"/>
    <w:rsid w:val="02C4132C"/>
    <w:rsid w:val="02CB619B"/>
    <w:rsid w:val="02D13EAC"/>
    <w:rsid w:val="02ED12BC"/>
    <w:rsid w:val="02EF795C"/>
    <w:rsid w:val="02F72AEC"/>
    <w:rsid w:val="02FB5843"/>
    <w:rsid w:val="030825EA"/>
    <w:rsid w:val="030A0A72"/>
    <w:rsid w:val="030F3FA6"/>
    <w:rsid w:val="032C6908"/>
    <w:rsid w:val="0335633B"/>
    <w:rsid w:val="033D407A"/>
    <w:rsid w:val="0341645D"/>
    <w:rsid w:val="03427D59"/>
    <w:rsid w:val="03444D52"/>
    <w:rsid w:val="0347365E"/>
    <w:rsid w:val="0349110B"/>
    <w:rsid w:val="034B3E43"/>
    <w:rsid w:val="034B4BE6"/>
    <w:rsid w:val="03503E9F"/>
    <w:rsid w:val="036C5F81"/>
    <w:rsid w:val="036D2DAF"/>
    <w:rsid w:val="036F3E2C"/>
    <w:rsid w:val="03747380"/>
    <w:rsid w:val="03785DC3"/>
    <w:rsid w:val="03800D34"/>
    <w:rsid w:val="0385459C"/>
    <w:rsid w:val="038B1FC0"/>
    <w:rsid w:val="03976A5D"/>
    <w:rsid w:val="03A264FE"/>
    <w:rsid w:val="03A5079A"/>
    <w:rsid w:val="03BC7785"/>
    <w:rsid w:val="03BD3D36"/>
    <w:rsid w:val="03BF5B0B"/>
    <w:rsid w:val="03F25D7A"/>
    <w:rsid w:val="03F80913"/>
    <w:rsid w:val="03F84D6E"/>
    <w:rsid w:val="03FA4F81"/>
    <w:rsid w:val="040251EA"/>
    <w:rsid w:val="040808DD"/>
    <w:rsid w:val="040D45BA"/>
    <w:rsid w:val="040F1BAA"/>
    <w:rsid w:val="04180F6C"/>
    <w:rsid w:val="042A6EF2"/>
    <w:rsid w:val="043753BD"/>
    <w:rsid w:val="044C668F"/>
    <w:rsid w:val="04531FA4"/>
    <w:rsid w:val="045447B8"/>
    <w:rsid w:val="045F7DBB"/>
    <w:rsid w:val="04841BB3"/>
    <w:rsid w:val="0491735E"/>
    <w:rsid w:val="049C4C87"/>
    <w:rsid w:val="04BE0968"/>
    <w:rsid w:val="04BE37A9"/>
    <w:rsid w:val="04BF588C"/>
    <w:rsid w:val="04C16B7B"/>
    <w:rsid w:val="04D457B9"/>
    <w:rsid w:val="04D62599"/>
    <w:rsid w:val="04D74536"/>
    <w:rsid w:val="04DC4690"/>
    <w:rsid w:val="04E672BC"/>
    <w:rsid w:val="04ED064B"/>
    <w:rsid w:val="04F874F6"/>
    <w:rsid w:val="04F90A70"/>
    <w:rsid w:val="04FB0B89"/>
    <w:rsid w:val="05083AE7"/>
    <w:rsid w:val="05120CA5"/>
    <w:rsid w:val="051216E7"/>
    <w:rsid w:val="05121E5F"/>
    <w:rsid w:val="05157E1E"/>
    <w:rsid w:val="05173748"/>
    <w:rsid w:val="051F71DD"/>
    <w:rsid w:val="05296862"/>
    <w:rsid w:val="05352068"/>
    <w:rsid w:val="053A1FEA"/>
    <w:rsid w:val="05452235"/>
    <w:rsid w:val="05461B09"/>
    <w:rsid w:val="055B3FDD"/>
    <w:rsid w:val="056062BD"/>
    <w:rsid w:val="05614B95"/>
    <w:rsid w:val="056573A7"/>
    <w:rsid w:val="0580326D"/>
    <w:rsid w:val="0583610C"/>
    <w:rsid w:val="058644B7"/>
    <w:rsid w:val="05961DC8"/>
    <w:rsid w:val="059648AF"/>
    <w:rsid w:val="05A47696"/>
    <w:rsid w:val="05A625A8"/>
    <w:rsid w:val="05A640F4"/>
    <w:rsid w:val="05AF1986"/>
    <w:rsid w:val="05B34ED2"/>
    <w:rsid w:val="05BE7A1E"/>
    <w:rsid w:val="05C5252D"/>
    <w:rsid w:val="05C72C4A"/>
    <w:rsid w:val="05C84C14"/>
    <w:rsid w:val="05C869C2"/>
    <w:rsid w:val="05CB51D6"/>
    <w:rsid w:val="05E27A84"/>
    <w:rsid w:val="05ED1D5C"/>
    <w:rsid w:val="05EE467B"/>
    <w:rsid w:val="05F9301F"/>
    <w:rsid w:val="060777C2"/>
    <w:rsid w:val="06136864"/>
    <w:rsid w:val="06233BF8"/>
    <w:rsid w:val="062A4F87"/>
    <w:rsid w:val="062D7EC3"/>
    <w:rsid w:val="06554F6B"/>
    <w:rsid w:val="065B15E4"/>
    <w:rsid w:val="06723C9E"/>
    <w:rsid w:val="06763BE5"/>
    <w:rsid w:val="067B3A34"/>
    <w:rsid w:val="069E4009"/>
    <w:rsid w:val="06AC6F16"/>
    <w:rsid w:val="06AD4E60"/>
    <w:rsid w:val="06B21925"/>
    <w:rsid w:val="06BC2A6D"/>
    <w:rsid w:val="06BF0490"/>
    <w:rsid w:val="06C20079"/>
    <w:rsid w:val="06DA4DD9"/>
    <w:rsid w:val="06E0590B"/>
    <w:rsid w:val="06E45A7E"/>
    <w:rsid w:val="06EE06AA"/>
    <w:rsid w:val="06F00584"/>
    <w:rsid w:val="06F36BF0"/>
    <w:rsid w:val="07023B75"/>
    <w:rsid w:val="070A47AC"/>
    <w:rsid w:val="071D3CB8"/>
    <w:rsid w:val="071D4AEC"/>
    <w:rsid w:val="0737795B"/>
    <w:rsid w:val="073A38EF"/>
    <w:rsid w:val="073A793E"/>
    <w:rsid w:val="073D096C"/>
    <w:rsid w:val="07401443"/>
    <w:rsid w:val="07414552"/>
    <w:rsid w:val="077A75DB"/>
    <w:rsid w:val="077D1B99"/>
    <w:rsid w:val="07875F99"/>
    <w:rsid w:val="079265E3"/>
    <w:rsid w:val="0797664C"/>
    <w:rsid w:val="07A03D64"/>
    <w:rsid w:val="07A146FD"/>
    <w:rsid w:val="07A5520D"/>
    <w:rsid w:val="07A86FF7"/>
    <w:rsid w:val="07CF4805"/>
    <w:rsid w:val="07D87ADA"/>
    <w:rsid w:val="07DC6755"/>
    <w:rsid w:val="07E029EC"/>
    <w:rsid w:val="07E1307F"/>
    <w:rsid w:val="07E76EF1"/>
    <w:rsid w:val="07E806E9"/>
    <w:rsid w:val="07EA5598"/>
    <w:rsid w:val="07F7358F"/>
    <w:rsid w:val="07F76884"/>
    <w:rsid w:val="07F86DE6"/>
    <w:rsid w:val="07FD4979"/>
    <w:rsid w:val="080261BB"/>
    <w:rsid w:val="08053EFD"/>
    <w:rsid w:val="0808134D"/>
    <w:rsid w:val="080A59FC"/>
    <w:rsid w:val="081576BB"/>
    <w:rsid w:val="0819069B"/>
    <w:rsid w:val="08314CF2"/>
    <w:rsid w:val="083D5445"/>
    <w:rsid w:val="083E4D1A"/>
    <w:rsid w:val="086378E2"/>
    <w:rsid w:val="086760E5"/>
    <w:rsid w:val="0869241D"/>
    <w:rsid w:val="088C4DC2"/>
    <w:rsid w:val="089811CD"/>
    <w:rsid w:val="089963F4"/>
    <w:rsid w:val="089A0F0A"/>
    <w:rsid w:val="089B6610"/>
    <w:rsid w:val="089C289E"/>
    <w:rsid w:val="08A515BF"/>
    <w:rsid w:val="08B03E69"/>
    <w:rsid w:val="08C2594B"/>
    <w:rsid w:val="08D15660"/>
    <w:rsid w:val="08D77648"/>
    <w:rsid w:val="091053D7"/>
    <w:rsid w:val="091268D2"/>
    <w:rsid w:val="092604CC"/>
    <w:rsid w:val="0926412B"/>
    <w:rsid w:val="09287EA3"/>
    <w:rsid w:val="0932487E"/>
    <w:rsid w:val="09490231"/>
    <w:rsid w:val="095B4A40"/>
    <w:rsid w:val="095D789C"/>
    <w:rsid w:val="095F52E7"/>
    <w:rsid w:val="096E0EE2"/>
    <w:rsid w:val="097906FF"/>
    <w:rsid w:val="099077F7"/>
    <w:rsid w:val="09972CBF"/>
    <w:rsid w:val="099F1422"/>
    <w:rsid w:val="09A51579"/>
    <w:rsid w:val="09AB4EC5"/>
    <w:rsid w:val="09AD0BF8"/>
    <w:rsid w:val="09AF2373"/>
    <w:rsid w:val="09B554AF"/>
    <w:rsid w:val="09BF09E0"/>
    <w:rsid w:val="09C82713"/>
    <w:rsid w:val="09D5365E"/>
    <w:rsid w:val="09DF6C17"/>
    <w:rsid w:val="09E91DB9"/>
    <w:rsid w:val="09F9024F"/>
    <w:rsid w:val="0A023DC0"/>
    <w:rsid w:val="0A08515B"/>
    <w:rsid w:val="0A0B5C4F"/>
    <w:rsid w:val="0A206193"/>
    <w:rsid w:val="0A2148F3"/>
    <w:rsid w:val="0A275DE5"/>
    <w:rsid w:val="0A2F6CD8"/>
    <w:rsid w:val="0A3D172D"/>
    <w:rsid w:val="0A3F208B"/>
    <w:rsid w:val="0A49045B"/>
    <w:rsid w:val="0A4C7256"/>
    <w:rsid w:val="0A52026D"/>
    <w:rsid w:val="0A556BC5"/>
    <w:rsid w:val="0A587B65"/>
    <w:rsid w:val="0A591230"/>
    <w:rsid w:val="0A5922DF"/>
    <w:rsid w:val="0A5F5791"/>
    <w:rsid w:val="0A656ED5"/>
    <w:rsid w:val="0A690774"/>
    <w:rsid w:val="0A69175D"/>
    <w:rsid w:val="0A6C2012"/>
    <w:rsid w:val="0A6F1B02"/>
    <w:rsid w:val="0A8507CE"/>
    <w:rsid w:val="0A8F5F18"/>
    <w:rsid w:val="0A9E7CF1"/>
    <w:rsid w:val="0AAA48E8"/>
    <w:rsid w:val="0ABC21F0"/>
    <w:rsid w:val="0AC736EC"/>
    <w:rsid w:val="0ACA2F1D"/>
    <w:rsid w:val="0ACE4A7B"/>
    <w:rsid w:val="0AD46EFD"/>
    <w:rsid w:val="0AE16222"/>
    <w:rsid w:val="0AE8205A"/>
    <w:rsid w:val="0AFD710E"/>
    <w:rsid w:val="0B047EC2"/>
    <w:rsid w:val="0B0A71DD"/>
    <w:rsid w:val="0B0E22FB"/>
    <w:rsid w:val="0B113CFF"/>
    <w:rsid w:val="0B195A81"/>
    <w:rsid w:val="0B1F4322"/>
    <w:rsid w:val="0B343090"/>
    <w:rsid w:val="0B347528"/>
    <w:rsid w:val="0B3B2621"/>
    <w:rsid w:val="0B3D575C"/>
    <w:rsid w:val="0B413AE1"/>
    <w:rsid w:val="0B494101"/>
    <w:rsid w:val="0B4A3F7D"/>
    <w:rsid w:val="0B596231"/>
    <w:rsid w:val="0B677060"/>
    <w:rsid w:val="0B6A0083"/>
    <w:rsid w:val="0B6E003A"/>
    <w:rsid w:val="0B7206EA"/>
    <w:rsid w:val="0B876D7D"/>
    <w:rsid w:val="0BA15CEB"/>
    <w:rsid w:val="0BBB6F43"/>
    <w:rsid w:val="0BBD4823"/>
    <w:rsid w:val="0BC55E7E"/>
    <w:rsid w:val="0BE800E8"/>
    <w:rsid w:val="0BE90BA0"/>
    <w:rsid w:val="0BFA1609"/>
    <w:rsid w:val="0BFA5B5F"/>
    <w:rsid w:val="0BFD42EB"/>
    <w:rsid w:val="0C01678A"/>
    <w:rsid w:val="0C05627A"/>
    <w:rsid w:val="0C1025C0"/>
    <w:rsid w:val="0C154AE6"/>
    <w:rsid w:val="0C191D25"/>
    <w:rsid w:val="0C1E558E"/>
    <w:rsid w:val="0C202B2F"/>
    <w:rsid w:val="0C2950BE"/>
    <w:rsid w:val="0C2A3F33"/>
    <w:rsid w:val="0C34090D"/>
    <w:rsid w:val="0C44024B"/>
    <w:rsid w:val="0C493E08"/>
    <w:rsid w:val="0C5D466C"/>
    <w:rsid w:val="0C662A91"/>
    <w:rsid w:val="0C6707B2"/>
    <w:rsid w:val="0C6A07D3"/>
    <w:rsid w:val="0C754612"/>
    <w:rsid w:val="0C775615"/>
    <w:rsid w:val="0C8B0636"/>
    <w:rsid w:val="0C965124"/>
    <w:rsid w:val="0C9E0BAC"/>
    <w:rsid w:val="0C9F66CF"/>
    <w:rsid w:val="0CA33FD3"/>
    <w:rsid w:val="0CAC1ADF"/>
    <w:rsid w:val="0CAE6912"/>
    <w:rsid w:val="0CBD4DA7"/>
    <w:rsid w:val="0CC47EE3"/>
    <w:rsid w:val="0CCA5A14"/>
    <w:rsid w:val="0CE3259D"/>
    <w:rsid w:val="0CEA70E2"/>
    <w:rsid w:val="0CEB4EB4"/>
    <w:rsid w:val="0CF4642C"/>
    <w:rsid w:val="0CFA569D"/>
    <w:rsid w:val="0CFC3AB8"/>
    <w:rsid w:val="0D02155B"/>
    <w:rsid w:val="0D0664E9"/>
    <w:rsid w:val="0D092822"/>
    <w:rsid w:val="0D1349C7"/>
    <w:rsid w:val="0D1C7D1F"/>
    <w:rsid w:val="0D2346E0"/>
    <w:rsid w:val="0D260B78"/>
    <w:rsid w:val="0D2F44A5"/>
    <w:rsid w:val="0D314E4D"/>
    <w:rsid w:val="0D330BC5"/>
    <w:rsid w:val="0D3443CA"/>
    <w:rsid w:val="0D344B0D"/>
    <w:rsid w:val="0D350CF1"/>
    <w:rsid w:val="0D3630F8"/>
    <w:rsid w:val="0D3D1A44"/>
    <w:rsid w:val="0D464FAC"/>
    <w:rsid w:val="0D492A7C"/>
    <w:rsid w:val="0D564D5C"/>
    <w:rsid w:val="0D58687D"/>
    <w:rsid w:val="0D693829"/>
    <w:rsid w:val="0D7316F0"/>
    <w:rsid w:val="0D755681"/>
    <w:rsid w:val="0D7D749B"/>
    <w:rsid w:val="0D7E2CD2"/>
    <w:rsid w:val="0D8B6C53"/>
    <w:rsid w:val="0D903663"/>
    <w:rsid w:val="0D913B3D"/>
    <w:rsid w:val="0D9553DC"/>
    <w:rsid w:val="0D9A6E96"/>
    <w:rsid w:val="0DA10224"/>
    <w:rsid w:val="0DA91AC3"/>
    <w:rsid w:val="0DAA56EF"/>
    <w:rsid w:val="0DAE298D"/>
    <w:rsid w:val="0DB32293"/>
    <w:rsid w:val="0DB51EB2"/>
    <w:rsid w:val="0DBA4CE6"/>
    <w:rsid w:val="0DBA7D6E"/>
    <w:rsid w:val="0DC33506"/>
    <w:rsid w:val="0DD16F1A"/>
    <w:rsid w:val="0DD570EB"/>
    <w:rsid w:val="0DDC711F"/>
    <w:rsid w:val="0DE0370F"/>
    <w:rsid w:val="0DEC5332"/>
    <w:rsid w:val="0DF7383C"/>
    <w:rsid w:val="0DF76133"/>
    <w:rsid w:val="0DFE49A3"/>
    <w:rsid w:val="0E06382C"/>
    <w:rsid w:val="0E101276"/>
    <w:rsid w:val="0E180AD3"/>
    <w:rsid w:val="0E1D6EA1"/>
    <w:rsid w:val="0E230C39"/>
    <w:rsid w:val="0E286C35"/>
    <w:rsid w:val="0E34406E"/>
    <w:rsid w:val="0E3771A3"/>
    <w:rsid w:val="0E3E1217"/>
    <w:rsid w:val="0E406015"/>
    <w:rsid w:val="0E4868F2"/>
    <w:rsid w:val="0E4D4626"/>
    <w:rsid w:val="0E52151F"/>
    <w:rsid w:val="0E582E2F"/>
    <w:rsid w:val="0E6F1B4C"/>
    <w:rsid w:val="0E6F20D1"/>
    <w:rsid w:val="0E703879"/>
    <w:rsid w:val="0E746EF9"/>
    <w:rsid w:val="0E7B0A40"/>
    <w:rsid w:val="0E870C78"/>
    <w:rsid w:val="0E883192"/>
    <w:rsid w:val="0E8D2E13"/>
    <w:rsid w:val="0E8F2773"/>
    <w:rsid w:val="0E917348"/>
    <w:rsid w:val="0E960394"/>
    <w:rsid w:val="0E9733D5"/>
    <w:rsid w:val="0E9B1FA4"/>
    <w:rsid w:val="0EA71FB1"/>
    <w:rsid w:val="0EB2020F"/>
    <w:rsid w:val="0EBA3B7F"/>
    <w:rsid w:val="0EC010B3"/>
    <w:rsid w:val="0ED33DE5"/>
    <w:rsid w:val="0EDF7256"/>
    <w:rsid w:val="0EE77EB9"/>
    <w:rsid w:val="0F056591"/>
    <w:rsid w:val="0F0F7410"/>
    <w:rsid w:val="0F112EC6"/>
    <w:rsid w:val="0F1D0D9E"/>
    <w:rsid w:val="0F2D1010"/>
    <w:rsid w:val="0F312CE6"/>
    <w:rsid w:val="0F31574C"/>
    <w:rsid w:val="0F3378BF"/>
    <w:rsid w:val="0F3D60C0"/>
    <w:rsid w:val="0F4B669A"/>
    <w:rsid w:val="0F4D0083"/>
    <w:rsid w:val="0F4F1A6F"/>
    <w:rsid w:val="0F521FA4"/>
    <w:rsid w:val="0F565A1B"/>
    <w:rsid w:val="0F5662C3"/>
    <w:rsid w:val="0F5C2447"/>
    <w:rsid w:val="0F7E4640"/>
    <w:rsid w:val="0F7F4595"/>
    <w:rsid w:val="0F846617"/>
    <w:rsid w:val="0F8B1A2C"/>
    <w:rsid w:val="0F925993"/>
    <w:rsid w:val="0FBA3803"/>
    <w:rsid w:val="0FC91828"/>
    <w:rsid w:val="0FCF05CA"/>
    <w:rsid w:val="0FE268D2"/>
    <w:rsid w:val="0FE80928"/>
    <w:rsid w:val="0FEA5136"/>
    <w:rsid w:val="0FEE34C9"/>
    <w:rsid w:val="0FEF171B"/>
    <w:rsid w:val="0FF73EA4"/>
    <w:rsid w:val="0FF94348"/>
    <w:rsid w:val="100072FA"/>
    <w:rsid w:val="100C3E6B"/>
    <w:rsid w:val="100D49AF"/>
    <w:rsid w:val="10156CA8"/>
    <w:rsid w:val="101F4D66"/>
    <w:rsid w:val="102858E0"/>
    <w:rsid w:val="102E38C6"/>
    <w:rsid w:val="10340523"/>
    <w:rsid w:val="104776F1"/>
    <w:rsid w:val="104E6615"/>
    <w:rsid w:val="10505CBD"/>
    <w:rsid w:val="10533906"/>
    <w:rsid w:val="10536835"/>
    <w:rsid w:val="10572E1C"/>
    <w:rsid w:val="10594DE6"/>
    <w:rsid w:val="105D374E"/>
    <w:rsid w:val="10603492"/>
    <w:rsid w:val="10633D61"/>
    <w:rsid w:val="106B1570"/>
    <w:rsid w:val="106F460A"/>
    <w:rsid w:val="10802344"/>
    <w:rsid w:val="10896C18"/>
    <w:rsid w:val="10987C55"/>
    <w:rsid w:val="10A06FA1"/>
    <w:rsid w:val="10A11BCB"/>
    <w:rsid w:val="10A27AD3"/>
    <w:rsid w:val="10A65097"/>
    <w:rsid w:val="10AC6DD7"/>
    <w:rsid w:val="10B34EF6"/>
    <w:rsid w:val="10C129CF"/>
    <w:rsid w:val="10CB29C9"/>
    <w:rsid w:val="10CC2829"/>
    <w:rsid w:val="10D426BF"/>
    <w:rsid w:val="10E943BC"/>
    <w:rsid w:val="10ED2FDB"/>
    <w:rsid w:val="10EF574B"/>
    <w:rsid w:val="10F903CF"/>
    <w:rsid w:val="110C1E59"/>
    <w:rsid w:val="111D7BC2"/>
    <w:rsid w:val="1125116C"/>
    <w:rsid w:val="112F78F5"/>
    <w:rsid w:val="11334496"/>
    <w:rsid w:val="114A05C7"/>
    <w:rsid w:val="114C32AC"/>
    <w:rsid w:val="115D113F"/>
    <w:rsid w:val="117A14B8"/>
    <w:rsid w:val="118056B1"/>
    <w:rsid w:val="11851C0B"/>
    <w:rsid w:val="118F3A83"/>
    <w:rsid w:val="119A3908"/>
    <w:rsid w:val="119F0114"/>
    <w:rsid w:val="119F1FEB"/>
    <w:rsid w:val="11CB1987"/>
    <w:rsid w:val="11D24E50"/>
    <w:rsid w:val="11D81D3B"/>
    <w:rsid w:val="11D87F8D"/>
    <w:rsid w:val="11E07F7E"/>
    <w:rsid w:val="11E27F4B"/>
    <w:rsid w:val="11E46148"/>
    <w:rsid w:val="11F91A81"/>
    <w:rsid w:val="12005654"/>
    <w:rsid w:val="1200757C"/>
    <w:rsid w:val="1229420E"/>
    <w:rsid w:val="122E44C3"/>
    <w:rsid w:val="12413D84"/>
    <w:rsid w:val="124F2D9C"/>
    <w:rsid w:val="125A4E46"/>
    <w:rsid w:val="12750576"/>
    <w:rsid w:val="127B46CF"/>
    <w:rsid w:val="127B6A48"/>
    <w:rsid w:val="127E786B"/>
    <w:rsid w:val="1283436C"/>
    <w:rsid w:val="12980D70"/>
    <w:rsid w:val="12A72E93"/>
    <w:rsid w:val="12BD2280"/>
    <w:rsid w:val="12C54F8C"/>
    <w:rsid w:val="12C84C4D"/>
    <w:rsid w:val="12C90A0A"/>
    <w:rsid w:val="12DE7825"/>
    <w:rsid w:val="12E00DC6"/>
    <w:rsid w:val="12E666D9"/>
    <w:rsid w:val="12EC0194"/>
    <w:rsid w:val="12FB2185"/>
    <w:rsid w:val="1318638F"/>
    <w:rsid w:val="13224360"/>
    <w:rsid w:val="132E68C3"/>
    <w:rsid w:val="13455F9C"/>
    <w:rsid w:val="134F2994"/>
    <w:rsid w:val="1360023A"/>
    <w:rsid w:val="13693592"/>
    <w:rsid w:val="13695D6B"/>
    <w:rsid w:val="137837D5"/>
    <w:rsid w:val="137C2534"/>
    <w:rsid w:val="137D703E"/>
    <w:rsid w:val="139127F7"/>
    <w:rsid w:val="13963C5C"/>
    <w:rsid w:val="139A48DA"/>
    <w:rsid w:val="139E2E9A"/>
    <w:rsid w:val="139F6580"/>
    <w:rsid w:val="13C04848"/>
    <w:rsid w:val="13C34C54"/>
    <w:rsid w:val="13CC3B21"/>
    <w:rsid w:val="13D053C0"/>
    <w:rsid w:val="13D33102"/>
    <w:rsid w:val="13D945C0"/>
    <w:rsid w:val="13E70008"/>
    <w:rsid w:val="13E9022F"/>
    <w:rsid w:val="13E91934"/>
    <w:rsid w:val="13F04E61"/>
    <w:rsid w:val="13F217DA"/>
    <w:rsid w:val="14025795"/>
    <w:rsid w:val="14060DE1"/>
    <w:rsid w:val="141053C4"/>
    <w:rsid w:val="14124565"/>
    <w:rsid w:val="14216DD8"/>
    <w:rsid w:val="14261574"/>
    <w:rsid w:val="14465682"/>
    <w:rsid w:val="14564A8D"/>
    <w:rsid w:val="146B6E96"/>
    <w:rsid w:val="14810004"/>
    <w:rsid w:val="148E4A7B"/>
    <w:rsid w:val="149A2F67"/>
    <w:rsid w:val="14A168E7"/>
    <w:rsid w:val="14A53E9C"/>
    <w:rsid w:val="14B22B28"/>
    <w:rsid w:val="14D82A5B"/>
    <w:rsid w:val="14DE58BA"/>
    <w:rsid w:val="14E31E35"/>
    <w:rsid w:val="14E73F12"/>
    <w:rsid w:val="14E82BDD"/>
    <w:rsid w:val="14F51ED8"/>
    <w:rsid w:val="150D0D34"/>
    <w:rsid w:val="150E0BE9"/>
    <w:rsid w:val="15152E58"/>
    <w:rsid w:val="1529684F"/>
    <w:rsid w:val="15321C30"/>
    <w:rsid w:val="1534372C"/>
    <w:rsid w:val="15415B3A"/>
    <w:rsid w:val="15442C35"/>
    <w:rsid w:val="1544348D"/>
    <w:rsid w:val="154648DC"/>
    <w:rsid w:val="154E061A"/>
    <w:rsid w:val="157341AB"/>
    <w:rsid w:val="15805968"/>
    <w:rsid w:val="15820B2E"/>
    <w:rsid w:val="158F1A82"/>
    <w:rsid w:val="15997A33"/>
    <w:rsid w:val="159A4AA6"/>
    <w:rsid w:val="159C47CF"/>
    <w:rsid w:val="159E5791"/>
    <w:rsid w:val="15A840C0"/>
    <w:rsid w:val="15AA2494"/>
    <w:rsid w:val="15C01970"/>
    <w:rsid w:val="15D46CBD"/>
    <w:rsid w:val="15D733D5"/>
    <w:rsid w:val="15DA2525"/>
    <w:rsid w:val="15E27884"/>
    <w:rsid w:val="15E92769"/>
    <w:rsid w:val="15ED7228"/>
    <w:rsid w:val="16092E0B"/>
    <w:rsid w:val="160E423B"/>
    <w:rsid w:val="16111B25"/>
    <w:rsid w:val="16113DF0"/>
    <w:rsid w:val="16365B35"/>
    <w:rsid w:val="164A0671"/>
    <w:rsid w:val="164E6A70"/>
    <w:rsid w:val="165D67DF"/>
    <w:rsid w:val="165F405C"/>
    <w:rsid w:val="166444E5"/>
    <w:rsid w:val="166F6491"/>
    <w:rsid w:val="167D1103"/>
    <w:rsid w:val="16811ED6"/>
    <w:rsid w:val="16846935"/>
    <w:rsid w:val="16885A42"/>
    <w:rsid w:val="16AC5BE5"/>
    <w:rsid w:val="16AF109D"/>
    <w:rsid w:val="16BD3E53"/>
    <w:rsid w:val="16BE315E"/>
    <w:rsid w:val="16BE5914"/>
    <w:rsid w:val="16C60CFC"/>
    <w:rsid w:val="16C80323"/>
    <w:rsid w:val="16CA259A"/>
    <w:rsid w:val="16EB0762"/>
    <w:rsid w:val="16F15988"/>
    <w:rsid w:val="1703785A"/>
    <w:rsid w:val="170B670F"/>
    <w:rsid w:val="170F26A3"/>
    <w:rsid w:val="170F6A96"/>
    <w:rsid w:val="17150B98"/>
    <w:rsid w:val="172C5003"/>
    <w:rsid w:val="17361F88"/>
    <w:rsid w:val="173F36EB"/>
    <w:rsid w:val="17400010"/>
    <w:rsid w:val="1752433D"/>
    <w:rsid w:val="17680005"/>
    <w:rsid w:val="178D5376"/>
    <w:rsid w:val="17A37EF1"/>
    <w:rsid w:val="17AC6144"/>
    <w:rsid w:val="17BE7C25"/>
    <w:rsid w:val="17C57205"/>
    <w:rsid w:val="17D7219A"/>
    <w:rsid w:val="17EC50B3"/>
    <w:rsid w:val="17F13B56"/>
    <w:rsid w:val="17FE300E"/>
    <w:rsid w:val="180C273E"/>
    <w:rsid w:val="181E4DEB"/>
    <w:rsid w:val="182C42AC"/>
    <w:rsid w:val="182D74CF"/>
    <w:rsid w:val="184F6B00"/>
    <w:rsid w:val="185145F5"/>
    <w:rsid w:val="18552337"/>
    <w:rsid w:val="186E63F8"/>
    <w:rsid w:val="18787E06"/>
    <w:rsid w:val="18803790"/>
    <w:rsid w:val="188116E2"/>
    <w:rsid w:val="188310F3"/>
    <w:rsid w:val="188D49B7"/>
    <w:rsid w:val="189060C3"/>
    <w:rsid w:val="18A44160"/>
    <w:rsid w:val="18A770F3"/>
    <w:rsid w:val="18AE7C99"/>
    <w:rsid w:val="18B74AC7"/>
    <w:rsid w:val="18D3585F"/>
    <w:rsid w:val="18D47700"/>
    <w:rsid w:val="18D67CD2"/>
    <w:rsid w:val="18E0295D"/>
    <w:rsid w:val="18FA2EDF"/>
    <w:rsid w:val="18FA6C9A"/>
    <w:rsid w:val="190E512B"/>
    <w:rsid w:val="1919767D"/>
    <w:rsid w:val="191C419E"/>
    <w:rsid w:val="191E3914"/>
    <w:rsid w:val="192D27F7"/>
    <w:rsid w:val="193C34F7"/>
    <w:rsid w:val="194D1260"/>
    <w:rsid w:val="195418CD"/>
    <w:rsid w:val="196640D0"/>
    <w:rsid w:val="19680BDB"/>
    <w:rsid w:val="19684913"/>
    <w:rsid w:val="19694186"/>
    <w:rsid w:val="196A3BC0"/>
    <w:rsid w:val="196F567B"/>
    <w:rsid w:val="19793E03"/>
    <w:rsid w:val="199D0651"/>
    <w:rsid w:val="19A277FE"/>
    <w:rsid w:val="19AC5F87"/>
    <w:rsid w:val="19B046CE"/>
    <w:rsid w:val="19BF2E7D"/>
    <w:rsid w:val="19DA453D"/>
    <w:rsid w:val="19E971DB"/>
    <w:rsid w:val="19F811CC"/>
    <w:rsid w:val="19FC0115"/>
    <w:rsid w:val="1A0E05FD"/>
    <w:rsid w:val="1A102B9B"/>
    <w:rsid w:val="1A105F90"/>
    <w:rsid w:val="1A213780"/>
    <w:rsid w:val="1A385272"/>
    <w:rsid w:val="1A405CE6"/>
    <w:rsid w:val="1A45202D"/>
    <w:rsid w:val="1A4B7B9A"/>
    <w:rsid w:val="1A4C32C6"/>
    <w:rsid w:val="1A6C5A74"/>
    <w:rsid w:val="1A6E116D"/>
    <w:rsid w:val="1A726D7D"/>
    <w:rsid w:val="1A732F49"/>
    <w:rsid w:val="1A7C4453"/>
    <w:rsid w:val="1A7F6C46"/>
    <w:rsid w:val="1A940B36"/>
    <w:rsid w:val="1A95572C"/>
    <w:rsid w:val="1A9C424D"/>
    <w:rsid w:val="1A9C791D"/>
    <w:rsid w:val="1A9F313C"/>
    <w:rsid w:val="1AB05F4B"/>
    <w:rsid w:val="1AB53561"/>
    <w:rsid w:val="1AC217DA"/>
    <w:rsid w:val="1AC35BC6"/>
    <w:rsid w:val="1ACE63D1"/>
    <w:rsid w:val="1AD734D7"/>
    <w:rsid w:val="1ADE4866"/>
    <w:rsid w:val="1AFC6A9A"/>
    <w:rsid w:val="1B1D3BC6"/>
    <w:rsid w:val="1B1E3568"/>
    <w:rsid w:val="1B210BF7"/>
    <w:rsid w:val="1B252495"/>
    <w:rsid w:val="1B2E340F"/>
    <w:rsid w:val="1B30601C"/>
    <w:rsid w:val="1B3B0382"/>
    <w:rsid w:val="1B3C158C"/>
    <w:rsid w:val="1B422824"/>
    <w:rsid w:val="1B446CF5"/>
    <w:rsid w:val="1B4B17D0"/>
    <w:rsid w:val="1B5209F5"/>
    <w:rsid w:val="1B661467"/>
    <w:rsid w:val="1B6B0ADE"/>
    <w:rsid w:val="1B6D1746"/>
    <w:rsid w:val="1B8F28CF"/>
    <w:rsid w:val="1B952FCB"/>
    <w:rsid w:val="1B9C202B"/>
    <w:rsid w:val="1BAD0036"/>
    <w:rsid w:val="1BAE3446"/>
    <w:rsid w:val="1BB05AD7"/>
    <w:rsid w:val="1BB20CE1"/>
    <w:rsid w:val="1BB2184F"/>
    <w:rsid w:val="1BBE56C7"/>
    <w:rsid w:val="1BD3223C"/>
    <w:rsid w:val="1BE340FE"/>
    <w:rsid w:val="1C002757"/>
    <w:rsid w:val="1C046376"/>
    <w:rsid w:val="1C0C5403"/>
    <w:rsid w:val="1C4D66F5"/>
    <w:rsid w:val="1C580648"/>
    <w:rsid w:val="1C5A4E99"/>
    <w:rsid w:val="1C701943"/>
    <w:rsid w:val="1C7046E3"/>
    <w:rsid w:val="1C72348C"/>
    <w:rsid w:val="1C8875B2"/>
    <w:rsid w:val="1C9A333D"/>
    <w:rsid w:val="1CA239FA"/>
    <w:rsid w:val="1CB71A15"/>
    <w:rsid w:val="1CBF0C54"/>
    <w:rsid w:val="1CC730D8"/>
    <w:rsid w:val="1CCC5E93"/>
    <w:rsid w:val="1CDE2795"/>
    <w:rsid w:val="1CE02F14"/>
    <w:rsid w:val="1CE04199"/>
    <w:rsid w:val="1CE2171F"/>
    <w:rsid w:val="1CE76663"/>
    <w:rsid w:val="1CE84028"/>
    <w:rsid w:val="1CEA4812"/>
    <w:rsid w:val="1D02627A"/>
    <w:rsid w:val="1D0D4763"/>
    <w:rsid w:val="1D126A49"/>
    <w:rsid w:val="1D210A3A"/>
    <w:rsid w:val="1D231206"/>
    <w:rsid w:val="1D24052A"/>
    <w:rsid w:val="1D342885"/>
    <w:rsid w:val="1D375273"/>
    <w:rsid w:val="1D394AEE"/>
    <w:rsid w:val="1D4806BC"/>
    <w:rsid w:val="1D640BB3"/>
    <w:rsid w:val="1D843506"/>
    <w:rsid w:val="1D8F0099"/>
    <w:rsid w:val="1D943902"/>
    <w:rsid w:val="1DAD5900"/>
    <w:rsid w:val="1DB21366"/>
    <w:rsid w:val="1DBA2C3C"/>
    <w:rsid w:val="1DBB17EC"/>
    <w:rsid w:val="1DBB49ED"/>
    <w:rsid w:val="1DD261D8"/>
    <w:rsid w:val="1DE303E5"/>
    <w:rsid w:val="1DE56A6C"/>
    <w:rsid w:val="1DF75056"/>
    <w:rsid w:val="1DF7659E"/>
    <w:rsid w:val="1DFF3B2A"/>
    <w:rsid w:val="1E026ABD"/>
    <w:rsid w:val="1E0C79E1"/>
    <w:rsid w:val="1E0D6A97"/>
    <w:rsid w:val="1E197963"/>
    <w:rsid w:val="1E1B7A04"/>
    <w:rsid w:val="1E1D56A5"/>
    <w:rsid w:val="1E2F7187"/>
    <w:rsid w:val="1E371F21"/>
    <w:rsid w:val="1E3A478F"/>
    <w:rsid w:val="1E3F025D"/>
    <w:rsid w:val="1E41102C"/>
    <w:rsid w:val="1E450758"/>
    <w:rsid w:val="1E723DF0"/>
    <w:rsid w:val="1E74454C"/>
    <w:rsid w:val="1E7F2656"/>
    <w:rsid w:val="1E82375A"/>
    <w:rsid w:val="1E8474D2"/>
    <w:rsid w:val="1E8847C4"/>
    <w:rsid w:val="1E906BC6"/>
    <w:rsid w:val="1E982F7E"/>
    <w:rsid w:val="1EB31B66"/>
    <w:rsid w:val="1EB3600A"/>
    <w:rsid w:val="1EC5130A"/>
    <w:rsid w:val="1ECE2E43"/>
    <w:rsid w:val="1ED32208"/>
    <w:rsid w:val="1ED437A0"/>
    <w:rsid w:val="1EE63A8F"/>
    <w:rsid w:val="1EEB76BB"/>
    <w:rsid w:val="1EFA44F1"/>
    <w:rsid w:val="1F06438B"/>
    <w:rsid w:val="1F0B4BC5"/>
    <w:rsid w:val="1F0B7773"/>
    <w:rsid w:val="1F183F9D"/>
    <w:rsid w:val="1F245EAE"/>
    <w:rsid w:val="1F32168E"/>
    <w:rsid w:val="1F3358F9"/>
    <w:rsid w:val="1F3C1ABE"/>
    <w:rsid w:val="1F48048A"/>
    <w:rsid w:val="1F571399"/>
    <w:rsid w:val="1F6317DE"/>
    <w:rsid w:val="1F676B5F"/>
    <w:rsid w:val="1F73704E"/>
    <w:rsid w:val="1F7A08D5"/>
    <w:rsid w:val="1F7B0FB3"/>
    <w:rsid w:val="1F813A12"/>
    <w:rsid w:val="1F8359DC"/>
    <w:rsid w:val="1F947DD6"/>
    <w:rsid w:val="1F9C6F17"/>
    <w:rsid w:val="1FA5523B"/>
    <w:rsid w:val="1FAF4A23"/>
    <w:rsid w:val="1FB45C4D"/>
    <w:rsid w:val="1FB86D49"/>
    <w:rsid w:val="1FBA12C5"/>
    <w:rsid w:val="1FBE3181"/>
    <w:rsid w:val="1FC8229F"/>
    <w:rsid w:val="1FD47FE6"/>
    <w:rsid w:val="1FD53D5E"/>
    <w:rsid w:val="1FD807FD"/>
    <w:rsid w:val="1FE83A91"/>
    <w:rsid w:val="1FEB4087"/>
    <w:rsid w:val="1FEC17D3"/>
    <w:rsid w:val="1FF33A7F"/>
    <w:rsid w:val="1FF71342"/>
    <w:rsid w:val="1FF73CD4"/>
    <w:rsid w:val="1FF8608A"/>
    <w:rsid w:val="200308CB"/>
    <w:rsid w:val="200843F5"/>
    <w:rsid w:val="200F101E"/>
    <w:rsid w:val="201440DA"/>
    <w:rsid w:val="202820DF"/>
    <w:rsid w:val="202F259B"/>
    <w:rsid w:val="203A3726"/>
    <w:rsid w:val="204A00D1"/>
    <w:rsid w:val="204D25A1"/>
    <w:rsid w:val="204E2BCE"/>
    <w:rsid w:val="20507DB9"/>
    <w:rsid w:val="2062104A"/>
    <w:rsid w:val="206477EA"/>
    <w:rsid w:val="20847C5E"/>
    <w:rsid w:val="20857532"/>
    <w:rsid w:val="20891CD2"/>
    <w:rsid w:val="20B971DB"/>
    <w:rsid w:val="20BE3C2D"/>
    <w:rsid w:val="20CB47F2"/>
    <w:rsid w:val="20DB107F"/>
    <w:rsid w:val="20E029BA"/>
    <w:rsid w:val="20F24AC1"/>
    <w:rsid w:val="210A5C1E"/>
    <w:rsid w:val="211014F1"/>
    <w:rsid w:val="211242E9"/>
    <w:rsid w:val="211F34E2"/>
    <w:rsid w:val="213D158B"/>
    <w:rsid w:val="2150290B"/>
    <w:rsid w:val="21605ED3"/>
    <w:rsid w:val="21611B14"/>
    <w:rsid w:val="216C7D3E"/>
    <w:rsid w:val="216E2CD1"/>
    <w:rsid w:val="216E3739"/>
    <w:rsid w:val="217750CC"/>
    <w:rsid w:val="217778FC"/>
    <w:rsid w:val="217F0425"/>
    <w:rsid w:val="21843C8D"/>
    <w:rsid w:val="2186076B"/>
    <w:rsid w:val="2192111C"/>
    <w:rsid w:val="21947B93"/>
    <w:rsid w:val="219A0DBB"/>
    <w:rsid w:val="219F768A"/>
    <w:rsid w:val="21AA0A19"/>
    <w:rsid w:val="21AB7D6F"/>
    <w:rsid w:val="21AE14CE"/>
    <w:rsid w:val="21AE4621"/>
    <w:rsid w:val="21BF6CED"/>
    <w:rsid w:val="21C422DC"/>
    <w:rsid w:val="21CB71C6"/>
    <w:rsid w:val="21D03A6A"/>
    <w:rsid w:val="21EA7F94"/>
    <w:rsid w:val="21F229A5"/>
    <w:rsid w:val="21F7620D"/>
    <w:rsid w:val="21FA7AAB"/>
    <w:rsid w:val="21FC52DD"/>
    <w:rsid w:val="21FD3676"/>
    <w:rsid w:val="223A7C67"/>
    <w:rsid w:val="223B4F67"/>
    <w:rsid w:val="223E0D5C"/>
    <w:rsid w:val="223E448F"/>
    <w:rsid w:val="22431452"/>
    <w:rsid w:val="2249604F"/>
    <w:rsid w:val="224C47AB"/>
    <w:rsid w:val="226C09A9"/>
    <w:rsid w:val="226E6B7B"/>
    <w:rsid w:val="22760EA9"/>
    <w:rsid w:val="227855A0"/>
    <w:rsid w:val="227B3D01"/>
    <w:rsid w:val="22883309"/>
    <w:rsid w:val="228D6B72"/>
    <w:rsid w:val="22916662"/>
    <w:rsid w:val="22934A5E"/>
    <w:rsid w:val="22973E7A"/>
    <w:rsid w:val="229E0D7F"/>
    <w:rsid w:val="22A95309"/>
    <w:rsid w:val="22BE76CC"/>
    <w:rsid w:val="22C208FD"/>
    <w:rsid w:val="22DD3655"/>
    <w:rsid w:val="22E11FC1"/>
    <w:rsid w:val="22E5075C"/>
    <w:rsid w:val="22F57E6C"/>
    <w:rsid w:val="22F860AC"/>
    <w:rsid w:val="22FD1EDC"/>
    <w:rsid w:val="22FE410B"/>
    <w:rsid w:val="230D0493"/>
    <w:rsid w:val="23151041"/>
    <w:rsid w:val="23166E85"/>
    <w:rsid w:val="232129B2"/>
    <w:rsid w:val="2331285C"/>
    <w:rsid w:val="23360FB7"/>
    <w:rsid w:val="233C3352"/>
    <w:rsid w:val="2348371D"/>
    <w:rsid w:val="23540A18"/>
    <w:rsid w:val="23541F6F"/>
    <w:rsid w:val="235713DB"/>
    <w:rsid w:val="235820BE"/>
    <w:rsid w:val="236373CC"/>
    <w:rsid w:val="23695E84"/>
    <w:rsid w:val="23741E67"/>
    <w:rsid w:val="237C2E38"/>
    <w:rsid w:val="237E4571"/>
    <w:rsid w:val="23812740"/>
    <w:rsid w:val="23937187"/>
    <w:rsid w:val="239A1F7A"/>
    <w:rsid w:val="239A7798"/>
    <w:rsid w:val="23B835AE"/>
    <w:rsid w:val="23DA1943"/>
    <w:rsid w:val="23DB1831"/>
    <w:rsid w:val="23E50309"/>
    <w:rsid w:val="23F87958"/>
    <w:rsid w:val="23FC7B0B"/>
    <w:rsid w:val="24027948"/>
    <w:rsid w:val="2407328A"/>
    <w:rsid w:val="2409047A"/>
    <w:rsid w:val="240A0AC1"/>
    <w:rsid w:val="240C3129"/>
    <w:rsid w:val="241E729B"/>
    <w:rsid w:val="243538AA"/>
    <w:rsid w:val="243F7283"/>
    <w:rsid w:val="24526C56"/>
    <w:rsid w:val="24794C06"/>
    <w:rsid w:val="247B4ED4"/>
    <w:rsid w:val="248B5773"/>
    <w:rsid w:val="2492046F"/>
    <w:rsid w:val="24951190"/>
    <w:rsid w:val="24A25521"/>
    <w:rsid w:val="24A61ABF"/>
    <w:rsid w:val="24B44889"/>
    <w:rsid w:val="24C0322E"/>
    <w:rsid w:val="24C4205E"/>
    <w:rsid w:val="24D46E9C"/>
    <w:rsid w:val="24D665AE"/>
    <w:rsid w:val="24DA04BA"/>
    <w:rsid w:val="24F00EBB"/>
    <w:rsid w:val="24FB3B50"/>
    <w:rsid w:val="25070E5D"/>
    <w:rsid w:val="252A06A8"/>
    <w:rsid w:val="252C4420"/>
    <w:rsid w:val="25363F8E"/>
    <w:rsid w:val="25366569"/>
    <w:rsid w:val="253668B6"/>
    <w:rsid w:val="2536704D"/>
    <w:rsid w:val="253B1B58"/>
    <w:rsid w:val="254529D2"/>
    <w:rsid w:val="254E083A"/>
    <w:rsid w:val="25522029"/>
    <w:rsid w:val="2560231B"/>
    <w:rsid w:val="256B552A"/>
    <w:rsid w:val="25715BDA"/>
    <w:rsid w:val="2572277A"/>
    <w:rsid w:val="257F1B62"/>
    <w:rsid w:val="2580651A"/>
    <w:rsid w:val="25873D4C"/>
    <w:rsid w:val="259756BC"/>
    <w:rsid w:val="25A129F2"/>
    <w:rsid w:val="25B71C2F"/>
    <w:rsid w:val="25BF0928"/>
    <w:rsid w:val="25BF5294"/>
    <w:rsid w:val="25CC6DA6"/>
    <w:rsid w:val="25EC2689"/>
    <w:rsid w:val="25F25669"/>
    <w:rsid w:val="26077297"/>
    <w:rsid w:val="26094573"/>
    <w:rsid w:val="262D1D12"/>
    <w:rsid w:val="2646779B"/>
    <w:rsid w:val="26541E80"/>
    <w:rsid w:val="265650E3"/>
    <w:rsid w:val="2670658E"/>
    <w:rsid w:val="267D4B4D"/>
    <w:rsid w:val="267F67D1"/>
    <w:rsid w:val="26987433"/>
    <w:rsid w:val="269B7AAF"/>
    <w:rsid w:val="26A2016B"/>
    <w:rsid w:val="26C309E4"/>
    <w:rsid w:val="26C568DA"/>
    <w:rsid w:val="26CC7C68"/>
    <w:rsid w:val="26CD39E1"/>
    <w:rsid w:val="26D061D2"/>
    <w:rsid w:val="26DB434F"/>
    <w:rsid w:val="26DC3A1C"/>
    <w:rsid w:val="26DE2F31"/>
    <w:rsid w:val="26E054C2"/>
    <w:rsid w:val="26E8176A"/>
    <w:rsid w:val="26F05130"/>
    <w:rsid w:val="26FF3DC2"/>
    <w:rsid w:val="27054DFC"/>
    <w:rsid w:val="270D48EF"/>
    <w:rsid w:val="27111B1F"/>
    <w:rsid w:val="272C4BAB"/>
    <w:rsid w:val="273509DF"/>
    <w:rsid w:val="273E40D9"/>
    <w:rsid w:val="273E58E5"/>
    <w:rsid w:val="274624D4"/>
    <w:rsid w:val="274E4B21"/>
    <w:rsid w:val="275D4D64"/>
    <w:rsid w:val="27636781"/>
    <w:rsid w:val="276860B5"/>
    <w:rsid w:val="276B626F"/>
    <w:rsid w:val="27806CA5"/>
    <w:rsid w:val="279D1605"/>
    <w:rsid w:val="27A52652"/>
    <w:rsid w:val="27A53069"/>
    <w:rsid w:val="27AB4887"/>
    <w:rsid w:val="27B471F1"/>
    <w:rsid w:val="27CB73B1"/>
    <w:rsid w:val="27D368EF"/>
    <w:rsid w:val="27D8263D"/>
    <w:rsid w:val="27DD5EA5"/>
    <w:rsid w:val="27EB64DC"/>
    <w:rsid w:val="27F7533C"/>
    <w:rsid w:val="280B73AA"/>
    <w:rsid w:val="281D28B3"/>
    <w:rsid w:val="28224201"/>
    <w:rsid w:val="28291CBC"/>
    <w:rsid w:val="2832108C"/>
    <w:rsid w:val="283C2BCC"/>
    <w:rsid w:val="283D0036"/>
    <w:rsid w:val="284A36CD"/>
    <w:rsid w:val="285A5748"/>
    <w:rsid w:val="285A74F6"/>
    <w:rsid w:val="285F632F"/>
    <w:rsid w:val="286647CC"/>
    <w:rsid w:val="28681C13"/>
    <w:rsid w:val="28966BAA"/>
    <w:rsid w:val="289E0AAA"/>
    <w:rsid w:val="28A15883"/>
    <w:rsid w:val="28CA467C"/>
    <w:rsid w:val="28DE3C83"/>
    <w:rsid w:val="291B4ED7"/>
    <w:rsid w:val="292875F4"/>
    <w:rsid w:val="292D1347"/>
    <w:rsid w:val="29323FD9"/>
    <w:rsid w:val="29331B12"/>
    <w:rsid w:val="29480C60"/>
    <w:rsid w:val="294F4B81"/>
    <w:rsid w:val="2964687E"/>
    <w:rsid w:val="29680339"/>
    <w:rsid w:val="2976210D"/>
    <w:rsid w:val="298567F4"/>
    <w:rsid w:val="298760C9"/>
    <w:rsid w:val="29911D31"/>
    <w:rsid w:val="29930F11"/>
    <w:rsid w:val="2999193A"/>
    <w:rsid w:val="299B1B74"/>
    <w:rsid w:val="299C349F"/>
    <w:rsid w:val="29A21154"/>
    <w:rsid w:val="29AC1DB0"/>
    <w:rsid w:val="29B3119E"/>
    <w:rsid w:val="29CF5D4E"/>
    <w:rsid w:val="29D9297F"/>
    <w:rsid w:val="29E33FFD"/>
    <w:rsid w:val="29EC4645"/>
    <w:rsid w:val="2A0718FD"/>
    <w:rsid w:val="2A07545B"/>
    <w:rsid w:val="2A0911D4"/>
    <w:rsid w:val="2A0B125B"/>
    <w:rsid w:val="2A10246D"/>
    <w:rsid w:val="2A110088"/>
    <w:rsid w:val="2A2026A5"/>
    <w:rsid w:val="2A21651D"/>
    <w:rsid w:val="2A245F4E"/>
    <w:rsid w:val="2A2F61AD"/>
    <w:rsid w:val="2A2F67C8"/>
    <w:rsid w:val="2A353D77"/>
    <w:rsid w:val="2A3907F4"/>
    <w:rsid w:val="2A3F7AD5"/>
    <w:rsid w:val="2A4A7B78"/>
    <w:rsid w:val="2A505B54"/>
    <w:rsid w:val="2A573CED"/>
    <w:rsid w:val="2A5E01C0"/>
    <w:rsid w:val="2A5F0DF4"/>
    <w:rsid w:val="2A6425A9"/>
    <w:rsid w:val="2A683EA0"/>
    <w:rsid w:val="2A6A163E"/>
    <w:rsid w:val="2A734AFE"/>
    <w:rsid w:val="2A7E36C0"/>
    <w:rsid w:val="2A9917B2"/>
    <w:rsid w:val="2AA7022C"/>
    <w:rsid w:val="2AA9206F"/>
    <w:rsid w:val="2AC22AC3"/>
    <w:rsid w:val="2AC64B02"/>
    <w:rsid w:val="2AC711E9"/>
    <w:rsid w:val="2ACB1488"/>
    <w:rsid w:val="2AE639DB"/>
    <w:rsid w:val="2B02634F"/>
    <w:rsid w:val="2B115258"/>
    <w:rsid w:val="2B1B4074"/>
    <w:rsid w:val="2B2160A9"/>
    <w:rsid w:val="2B234836"/>
    <w:rsid w:val="2B2B6F28"/>
    <w:rsid w:val="2B2C5277"/>
    <w:rsid w:val="2B3169D8"/>
    <w:rsid w:val="2B467603"/>
    <w:rsid w:val="2B4D33EA"/>
    <w:rsid w:val="2B54022C"/>
    <w:rsid w:val="2B5E180F"/>
    <w:rsid w:val="2B642C42"/>
    <w:rsid w:val="2B793AD0"/>
    <w:rsid w:val="2B804F02"/>
    <w:rsid w:val="2BC453B2"/>
    <w:rsid w:val="2BC91088"/>
    <w:rsid w:val="2BCC24B9"/>
    <w:rsid w:val="2BD42FE5"/>
    <w:rsid w:val="2BDE13BB"/>
    <w:rsid w:val="2BDF003C"/>
    <w:rsid w:val="2BE05F64"/>
    <w:rsid w:val="2BE27F2E"/>
    <w:rsid w:val="2BEE01C4"/>
    <w:rsid w:val="2BFD76EA"/>
    <w:rsid w:val="2C0568CE"/>
    <w:rsid w:val="2C0E4B78"/>
    <w:rsid w:val="2C1300E8"/>
    <w:rsid w:val="2C183950"/>
    <w:rsid w:val="2C1F2B82"/>
    <w:rsid w:val="2C2B4E88"/>
    <w:rsid w:val="2C332538"/>
    <w:rsid w:val="2C3F4DAE"/>
    <w:rsid w:val="2C5D1363"/>
    <w:rsid w:val="2C623F94"/>
    <w:rsid w:val="2C777E89"/>
    <w:rsid w:val="2C953A72"/>
    <w:rsid w:val="2C9805ED"/>
    <w:rsid w:val="2C9D1712"/>
    <w:rsid w:val="2CAF6062"/>
    <w:rsid w:val="2CB90C8F"/>
    <w:rsid w:val="2CBC42DB"/>
    <w:rsid w:val="2CC80ED2"/>
    <w:rsid w:val="2CC94F92"/>
    <w:rsid w:val="2CCB09C2"/>
    <w:rsid w:val="2CCD473A"/>
    <w:rsid w:val="2CD15F99"/>
    <w:rsid w:val="2CD3405A"/>
    <w:rsid w:val="2CDE06F5"/>
    <w:rsid w:val="2CE13D42"/>
    <w:rsid w:val="2CE81574"/>
    <w:rsid w:val="2CED6B8B"/>
    <w:rsid w:val="2CF3064F"/>
    <w:rsid w:val="2CF55A3F"/>
    <w:rsid w:val="2D083ED8"/>
    <w:rsid w:val="2D0C5978"/>
    <w:rsid w:val="2D0E3736"/>
    <w:rsid w:val="2D104627"/>
    <w:rsid w:val="2D1B36F8"/>
    <w:rsid w:val="2D3A16A4"/>
    <w:rsid w:val="2D4C43EC"/>
    <w:rsid w:val="2D4E51AF"/>
    <w:rsid w:val="2D5C5764"/>
    <w:rsid w:val="2D6862AA"/>
    <w:rsid w:val="2D6C3F53"/>
    <w:rsid w:val="2D6C4992"/>
    <w:rsid w:val="2D714463"/>
    <w:rsid w:val="2D74105A"/>
    <w:rsid w:val="2D760D84"/>
    <w:rsid w:val="2D7E4C6B"/>
    <w:rsid w:val="2D8F0D14"/>
    <w:rsid w:val="2DA142DE"/>
    <w:rsid w:val="2DA55336"/>
    <w:rsid w:val="2DAE748E"/>
    <w:rsid w:val="2DBE4083"/>
    <w:rsid w:val="2DD35D80"/>
    <w:rsid w:val="2DD41AF8"/>
    <w:rsid w:val="2DDB57F6"/>
    <w:rsid w:val="2DDD275B"/>
    <w:rsid w:val="2DE81D2E"/>
    <w:rsid w:val="2E020414"/>
    <w:rsid w:val="2E0A5E8E"/>
    <w:rsid w:val="2E1707C8"/>
    <w:rsid w:val="2E2732E8"/>
    <w:rsid w:val="2E316CAA"/>
    <w:rsid w:val="2E3305CD"/>
    <w:rsid w:val="2E385BE3"/>
    <w:rsid w:val="2E3B7990"/>
    <w:rsid w:val="2E4427DA"/>
    <w:rsid w:val="2E453E4B"/>
    <w:rsid w:val="2E4A049E"/>
    <w:rsid w:val="2E520DDD"/>
    <w:rsid w:val="2E576A08"/>
    <w:rsid w:val="2E795F39"/>
    <w:rsid w:val="2E883074"/>
    <w:rsid w:val="2E9077CD"/>
    <w:rsid w:val="2EAA3A90"/>
    <w:rsid w:val="2EB84F76"/>
    <w:rsid w:val="2ECB6A58"/>
    <w:rsid w:val="2ED2428A"/>
    <w:rsid w:val="2ED85313"/>
    <w:rsid w:val="2EE67D35"/>
    <w:rsid w:val="2F1C18C1"/>
    <w:rsid w:val="2F1C430B"/>
    <w:rsid w:val="2F1F0B51"/>
    <w:rsid w:val="2F39477D"/>
    <w:rsid w:val="2F395F3D"/>
    <w:rsid w:val="2F3B78A8"/>
    <w:rsid w:val="2F414D05"/>
    <w:rsid w:val="2F466D8F"/>
    <w:rsid w:val="2F4800A8"/>
    <w:rsid w:val="2F491853"/>
    <w:rsid w:val="2F4A4DD1"/>
    <w:rsid w:val="2F4F7689"/>
    <w:rsid w:val="2F6F232E"/>
    <w:rsid w:val="2F700F11"/>
    <w:rsid w:val="2F762E67"/>
    <w:rsid w:val="2F890167"/>
    <w:rsid w:val="2F9C21A2"/>
    <w:rsid w:val="2FAE4F38"/>
    <w:rsid w:val="2FB75203"/>
    <w:rsid w:val="2FB76FDC"/>
    <w:rsid w:val="2FCA1B1D"/>
    <w:rsid w:val="2FCC0CD9"/>
    <w:rsid w:val="2FD45DE0"/>
    <w:rsid w:val="2FD602BF"/>
    <w:rsid w:val="2FD71031"/>
    <w:rsid w:val="2FDF51E1"/>
    <w:rsid w:val="2FE029D7"/>
    <w:rsid w:val="2FE77C4A"/>
    <w:rsid w:val="2FEB2950"/>
    <w:rsid w:val="3014442E"/>
    <w:rsid w:val="301461DC"/>
    <w:rsid w:val="30224D9D"/>
    <w:rsid w:val="302A4603"/>
    <w:rsid w:val="30346348"/>
    <w:rsid w:val="30382FAD"/>
    <w:rsid w:val="3042278D"/>
    <w:rsid w:val="3051409E"/>
    <w:rsid w:val="30550CCF"/>
    <w:rsid w:val="30672310"/>
    <w:rsid w:val="30744671"/>
    <w:rsid w:val="307849BD"/>
    <w:rsid w:val="30792963"/>
    <w:rsid w:val="307D0C4E"/>
    <w:rsid w:val="307F4383"/>
    <w:rsid w:val="30812890"/>
    <w:rsid w:val="30847E2D"/>
    <w:rsid w:val="309D2676"/>
    <w:rsid w:val="30A9101A"/>
    <w:rsid w:val="30BA6D84"/>
    <w:rsid w:val="30BF25EC"/>
    <w:rsid w:val="30BF2978"/>
    <w:rsid w:val="30CA089D"/>
    <w:rsid w:val="30CA3518"/>
    <w:rsid w:val="30D1431E"/>
    <w:rsid w:val="30E01E4C"/>
    <w:rsid w:val="30E23397"/>
    <w:rsid w:val="30E453B4"/>
    <w:rsid w:val="30E97669"/>
    <w:rsid w:val="30EE0901"/>
    <w:rsid w:val="30EE1123"/>
    <w:rsid w:val="30FA63C2"/>
    <w:rsid w:val="310224D9"/>
    <w:rsid w:val="31053A79"/>
    <w:rsid w:val="310821E5"/>
    <w:rsid w:val="310D3357"/>
    <w:rsid w:val="31226DCD"/>
    <w:rsid w:val="3125434E"/>
    <w:rsid w:val="312724B0"/>
    <w:rsid w:val="3133133F"/>
    <w:rsid w:val="313A7EC4"/>
    <w:rsid w:val="313E4873"/>
    <w:rsid w:val="314C343E"/>
    <w:rsid w:val="31581544"/>
    <w:rsid w:val="31707836"/>
    <w:rsid w:val="317E4255"/>
    <w:rsid w:val="319B423C"/>
    <w:rsid w:val="319B5CD8"/>
    <w:rsid w:val="31A55C86"/>
    <w:rsid w:val="31A729F2"/>
    <w:rsid w:val="31AF2660"/>
    <w:rsid w:val="31B175BB"/>
    <w:rsid w:val="31B77767"/>
    <w:rsid w:val="31B92820"/>
    <w:rsid w:val="31BE0184"/>
    <w:rsid w:val="31C011EA"/>
    <w:rsid w:val="31C91787"/>
    <w:rsid w:val="31CD44F4"/>
    <w:rsid w:val="31D420C7"/>
    <w:rsid w:val="31E067BF"/>
    <w:rsid w:val="31E118F8"/>
    <w:rsid w:val="31E42E75"/>
    <w:rsid w:val="31E51684"/>
    <w:rsid w:val="32025E59"/>
    <w:rsid w:val="320C1861"/>
    <w:rsid w:val="321D45E4"/>
    <w:rsid w:val="322070BA"/>
    <w:rsid w:val="3222599A"/>
    <w:rsid w:val="322841C1"/>
    <w:rsid w:val="322875CC"/>
    <w:rsid w:val="3234700A"/>
    <w:rsid w:val="323D5EBE"/>
    <w:rsid w:val="323F6356"/>
    <w:rsid w:val="324D2092"/>
    <w:rsid w:val="324D4FAC"/>
    <w:rsid w:val="32667A9F"/>
    <w:rsid w:val="326F1DF0"/>
    <w:rsid w:val="3273368E"/>
    <w:rsid w:val="328C0BF4"/>
    <w:rsid w:val="328D05DB"/>
    <w:rsid w:val="328E6F37"/>
    <w:rsid w:val="3299030C"/>
    <w:rsid w:val="329B0E37"/>
    <w:rsid w:val="329C6749"/>
    <w:rsid w:val="329F26D5"/>
    <w:rsid w:val="32A63A63"/>
    <w:rsid w:val="32A73338"/>
    <w:rsid w:val="32AD4EF5"/>
    <w:rsid w:val="32B02C96"/>
    <w:rsid w:val="32B53CA7"/>
    <w:rsid w:val="32B5708C"/>
    <w:rsid w:val="32BC158A"/>
    <w:rsid w:val="32BD0DAD"/>
    <w:rsid w:val="32BE44A5"/>
    <w:rsid w:val="32C91500"/>
    <w:rsid w:val="32CE2FBA"/>
    <w:rsid w:val="32CF2D63"/>
    <w:rsid w:val="32D76CF9"/>
    <w:rsid w:val="32E4458C"/>
    <w:rsid w:val="32ED17CB"/>
    <w:rsid w:val="32F64CAC"/>
    <w:rsid w:val="32FB1847"/>
    <w:rsid w:val="32FC70BF"/>
    <w:rsid w:val="32FD1952"/>
    <w:rsid w:val="32FD564D"/>
    <w:rsid w:val="3304078A"/>
    <w:rsid w:val="331029F6"/>
    <w:rsid w:val="33131E56"/>
    <w:rsid w:val="331F2C8E"/>
    <w:rsid w:val="33204159"/>
    <w:rsid w:val="332048B7"/>
    <w:rsid w:val="333F169C"/>
    <w:rsid w:val="335039CF"/>
    <w:rsid w:val="33572FB0"/>
    <w:rsid w:val="33694915"/>
    <w:rsid w:val="3369624D"/>
    <w:rsid w:val="336A2CA3"/>
    <w:rsid w:val="338C1732"/>
    <w:rsid w:val="33997993"/>
    <w:rsid w:val="339C7C75"/>
    <w:rsid w:val="33A06705"/>
    <w:rsid w:val="33A212EF"/>
    <w:rsid w:val="33AB69FA"/>
    <w:rsid w:val="33B2468A"/>
    <w:rsid w:val="33BF2903"/>
    <w:rsid w:val="33C57F19"/>
    <w:rsid w:val="33D42CC6"/>
    <w:rsid w:val="33D60378"/>
    <w:rsid w:val="33E5680D"/>
    <w:rsid w:val="33E67E90"/>
    <w:rsid w:val="33F20F2A"/>
    <w:rsid w:val="33F627C9"/>
    <w:rsid w:val="33FF4544"/>
    <w:rsid w:val="34000F51"/>
    <w:rsid w:val="340405C2"/>
    <w:rsid w:val="341123C4"/>
    <w:rsid w:val="34167AA5"/>
    <w:rsid w:val="34207846"/>
    <w:rsid w:val="342866FA"/>
    <w:rsid w:val="342922F4"/>
    <w:rsid w:val="342A06C4"/>
    <w:rsid w:val="342A2472"/>
    <w:rsid w:val="343147AA"/>
    <w:rsid w:val="34350C80"/>
    <w:rsid w:val="34360E17"/>
    <w:rsid w:val="34452E08"/>
    <w:rsid w:val="34473B9A"/>
    <w:rsid w:val="34525525"/>
    <w:rsid w:val="346A24C6"/>
    <w:rsid w:val="346B3E22"/>
    <w:rsid w:val="34770C2C"/>
    <w:rsid w:val="34843643"/>
    <w:rsid w:val="348523D7"/>
    <w:rsid w:val="349033D9"/>
    <w:rsid w:val="34917562"/>
    <w:rsid w:val="34A04D20"/>
    <w:rsid w:val="34C3245F"/>
    <w:rsid w:val="34C33891"/>
    <w:rsid w:val="34CC69B3"/>
    <w:rsid w:val="34CE54F3"/>
    <w:rsid w:val="34D629CF"/>
    <w:rsid w:val="34DB376C"/>
    <w:rsid w:val="34DD67C5"/>
    <w:rsid w:val="34DE25D0"/>
    <w:rsid w:val="34E02B31"/>
    <w:rsid w:val="34E03760"/>
    <w:rsid w:val="34F101AD"/>
    <w:rsid w:val="350D7760"/>
    <w:rsid w:val="350E46CE"/>
    <w:rsid w:val="35154ED0"/>
    <w:rsid w:val="351849C1"/>
    <w:rsid w:val="351D5851"/>
    <w:rsid w:val="352B37AD"/>
    <w:rsid w:val="353C06AF"/>
    <w:rsid w:val="35497702"/>
    <w:rsid w:val="3554615F"/>
    <w:rsid w:val="355552CD"/>
    <w:rsid w:val="35611EC4"/>
    <w:rsid w:val="35645510"/>
    <w:rsid w:val="356E2833"/>
    <w:rsid w:val="356E4368"/>
    <w:rsid w:val="35926352"/>
    <w:rsid w:val="359758E5"/>
    <w:rsid w:val="35A61323"/>
    <w:rsid w:val="35B53FBD"/>
    <w:rsid w:val="35BC5E28"/>
    <w:rsid w:val="35C6441D"/>
    <w:rsid w:val="35CF4828"/>
    <w:rsid w:val="35DF65DC"/>
    <w:rsid w:val="35EB1DEA"/>
    <w:rsid w:val="35EE7979"/>
    <w:rsid w:val="35F80CE0"/>
    <w:rsid w:val="35F9681D"/>
    <w:rsid w:val="36015455"/>
    <w:rsid w:val="360B1967"/>
    <w:rsid w:val="360C3F84"/>
    <w:rsid w:val="36121410"/>
    <w:rsid w:val="361E10D9"/>
    <w:rsid w:val="362D65BC"/>
    <w:rsid w:val="363D46DF"/>
    <w:rsid w:val="3654236A"/>
    <w:rsid w:val="36580D30"/>
    <w:rsid w:val="36624145"/>
    <w:rsid w:val="36730100"/>
    <w:rsid w:val="3680297D"/>
    <w:rsid w:val="36835E6A"/>
    <w:rsid w:val="368460D4"/>
    <w:rsid w:val="368E77D3"/>
    <w:rsid w:val="36981141"/>
    <w:rsid w:val="369E6E8B"/>
    <w:rsid w:val="36CE5A50"/>
    <w:rsid w:val="36CF10AF"/>
    <w:rsid w:val="36D81777"/>
    <w:rsid w:val="36E7464B"/>
    <w:rsid w:val="36EA69D1"/>
    <w:rsid w:val="36ED73F8"/>
    <w:rsid w:val="36F079A3"/>
    <w:rsid w:val="36F8526B"/>
    <w:rsid w:val="37016A4B"/>
    <w:rsid w:val="37041F42"/>
    <w:rsid w:val="37173991"/>
    <w:rsid w:val="37337890"/>
    <w:rsid w:val="37353608"/>
    <w:rsid w:val="373830F8"/>
    <w:rsid w:val="37386C54"/>
    <w:rsid w:val="374455F9"/>
    <w:rsid w:val="37486E1B"/>
    <w:rsid w:val="374C0952"/>
    <w:rsid w:val="3751103F"/>
    <w:rsid w:val="3757357E"/>
    <w:rsid w:val="375B10A3"/>
    <w:rsid w:val="37643EED"/>
    <w:rsid w:val="376941C5"/>
    <w:rsid w:val="37863E63"/>
    <w:rsid w:val="379647D0"/>
    <w:rsid w:val="379A790F"/>
    <w:rsid w:val="379C25B3"/>
    <w:rsid w:val="379E0596"/>
    <w:rsid w:val="379E4ABE"/>
    <w:rsid w:val="37C20E99"/>
    <w:rsid w:val="37CD0BC0"/>
    <w:rsid w:val="37D0796C"/>
    <w:rsid w:val="37D6564A"/>
    <w:rsid w:val="37E96018"/>
    <w:rsid w:val="37ED3C5B"/>
    <w:rsid w:val="37F619CD"/>
    <w:rsid w:val="37F8244E"/>
    <w:rsid w:val="37F963E3"/>
    <w:rsid w:val="380C3800"/>
    <w:rsid w:val="3810034F"/>
    <w:rsid w:val="3814321D"/>
    <w:rsid w:val="381B4819"/>
    <w:rsid w:val="38246C7E"/>
    <w:rsid w:val="38303DCF"/>
    <w:rsid w:val="38402264"/>
    <w:rsid w:val="38545D10"/>
    <w:rsid w:val="385E69BF"/>
    <w:rsid w:val="386A108F"/>
    <w:rsid w:val="386E651C"/>
    <w:rsid w:val="38763ED8"/>
    <w:rsid w:val="387B5D96"/>
    <w:rsid w:val="387C1DE3"/>
    <w:rsid w:val="388330A3"/>
    <w:rsid w:val="38AB0B76"/>
    <w:rsid w:val="38B13112"/>
    <w:rsid w:val="38B36EDA"/>
    <w:rsid w:val="38B8629F"/>
    <w:rsid w:val="38BD08B1"/>
    <w:rsid w:val="38C46A3A"/>
    <w:rsid w:val="38C8511D"/>
    <w:rsid w:val="38CB1B8D"/>
    <w:rsid w:val="38CD0523"/>
    <w:rsid w:val="38CF2F79"/>
    <w:rsid w:val="38EC7CF6"/>
    <w:rsid w:val="38F773E8"/>
    <w:rsid w:val="38FA1578"/>
    <w:rsid w:val="38FC58E3"/>
    <w:rsid w:val="38FF316F"/>
    <w:rsid w:val="39074F0C"/>
    <w:rsid w:val="3910769F"/>
    <w:rsid w:val="39241B86"/>
    <w:rsid w:val="39322BF4"/>
    <w:rsid w:val="393873DF"/>
    <w:rsid w:val="39453432"/>
    <w:rsid w:val="394E09B1"/>
    <w:rsid w:val="39584963"/>
    <w:rsid w:val="395A7356"/>
    <w:rsid w:val="395E68CC"/>
    <w:rsid w:val="39650B88"/>
    <w:rsid w:val="396A1E51"/>
    <w:rsid w:val="39721FBC"/>
    <w:rsid w:val="39780C9F"/>
    <w:rsid w:val="398101BD"/>
    <w:rsid w:val="39904BE8"/>
    <w:rsid w:val="399F605D"/>
    <w:rsid w:val="39A5511D"/>
    <w:rsid w:val="39B12CEE"/>
    <w:rsid w:val="39D03040"/>
    <w:rsid w:val="39D40E51"/>
    <w:rsid w:val="39DE7F87"/>
    <w:rsid w:val="39E81904"/>
    <w:rsid w:val="39EC16A9"/>
    <w:rsid w:val="39F82C1F"/>
    <w:rsid w:val="39FA3D41"/>
    <w:rsid w:val="39FC4706"/>
    <w:rsid w:val="3A095C78"/>
    <w:rsid w:val="3A0D5F0C"/>
    <w:rsid w:val="3A1525B8"/>
    <w:rsid w:val="3A1B0B74"/>
    <w:rsid w:val="3A22379C"/>
    <w:rsid w:val="3A2D30C1"/>
    <w:rsid w:val="3A2F2590"/>
    <w:rsid w:val="3A485BC1"/>
    <w:rsid w:val="3A4C2405"/>
    <w:rsid w:val="3A63048C"/>
    <w:rsid w:val="3A6E18DE"/>
    <w:rsid w:val="3A8667C2"/>
    <w:rsid w:val="3A89591F"/>
    <w:rsid w:val="3A8F74D3"/>
    <w:rsid w:val="3A910E9F"/>
    <w:rsid w:val="3AA072B1"/>
    <w:rsid w:val="3AA572CA"/>
    <w:rsid w:val="3AAD0C0C"/>
    <w:rsid w:val="3AC214F7"/>
    <w:rsid w:val="3AC42054"/>
    <w:rsid w:val="3ACD1791"/>
    <w:rsid w:val="3AD317E1"/>
    <w:rsid w:val="3AD4466F"/>
    <w:rsid w:val="3ADC1DC5"/>
    <w:rsid w:val="3AE238B9"/>
    <w:rsid w:val="3AE4526D"/>
    <w:rsid w:val="3AE96BE3"/>
    <w:rsid w:val="3AEC2061"/>
    <w:rsid w:val="3AF85078"/>
    <w:rsid w:val="3B0466D3"/>
    <w:rsid w:val="3B0532F1"/>
    <w:rsid w:val="3B0722F8"/>
    <w:rsid w:val="3B0A12E7"/>
    <w:rsid w:val="3B11162B"/>
    <w:rsid w:val="3B11613A"/>
    <w:rsid w:val="3B1B48C3"/>
    <w:rsid w:val="3B227D7D"/>
    <w:rsid w:val="3B285E52"/>
    <w:rsid w:val="3B293484"/>
    <w:rsid w:val="3B3616FD"/>
    <w:rsid w:val="3B363FFC"/>
    <w:rsid w:val="3B3C6426"/>
    <w:rsid w:val="3B672E62"/>
    <w:rsid w:val="3B680739"/>
    <w:rsid w:val="3B7D37CF"/>
    <w:rsid w:val="3B820BE6"/>
    <w:rsid w:val="3B832CDA"/>
    <w:rsid w:val="3B8C3A12"/>
    <w:rsid w:val="3B9C3C56"/>
    <w:rsid w:val="3BA36C9F"/>
    <w:rsid w:val="3BA83F01"/>
    <w:rsid w:val="3BAA3D8F"/>
    <w:rsid w:val="3BAA57FD"/>
    <w:rsid w:val="3BAC3BAE"/>
    <w:rsid w:val="3BC248D5"/>
    <w:rsid w:val="3BF12675"/>
    <w:rsid w:val="3BF270F1"/>
    <w:rsid w:val="3C034077"/>
    <w:rsid w:val="3C0621E0"/>
    <w:rsid w:val="3C237ED3"/>
    <w:rsid w:val="3C2763E6"/>
    <w:rsid w:val="3C291261"/>
    <w:rsid w:val="3C2A7342"/>
    <w:rsid w:val="3C330E21"/>
    <w:rsid w:val="3C3D40AF"/>
    <w:rsid w:val="3C460065"/>
    <w:rsid w:val="3C4D6CFE"/>
    <w:rsid w:val="3C507AAD"/>
    <w:rsid w:val="3C6978B0"/>
    <w:rsid w:val="3C711122"/>
    <w:rsid w:val="3C713708"/>
    <w:rsid w:val="3C885F88"/>
    <w:rsid w:val="3C9B215F"/>
    <w:rsid w:val="3CB410F2"/>
    <w:rsid w:val="3CBE19AA"/>
    <w:rsid w:val="3CC57C5B"/>
    <w:rsid w:val="3CCA7E7E"/>
    <w:rsid w:val="3CCC6B9E"/>
    <w:rsid w:val="3CD936FA"/>
    <w:rsid w:val="3CDC5A84"/>
    <w:rsid w:val="3CDD6801"/>
    <w:rsid w:val="3CF63839"/>
    <w:rsid w:val="3CFE6428"/>
    <w:rsid w:val="3D053DA9"/>
    <w:rsid w:val="3D06157D"/>
    <w:rsid w:val="3D0715A3"/>
    <w:rsid w:val="3D077BFE"/>
    <w:rsid w:val="3D0E79E1"/>
    <w:rsid w:val="3D146AB1"/>
    <w:rsid w:val="3D265EFE"/>
    <w:rsid w:val="3D3229CC"/>
    <w:rsid w:val="3D4225DB"/>
    <w:rsid w:val="3D4341BC"/>
    <w:rsid w:val="3D4C16AB"/>
    <w:rsid w:val="3D5E1962"/>
    <w:rsid w:val="3D654BAA"/>
    <w:rsid w:val="3D6C3AFB"/>
    <w:rsid w:val="3D6C7658"/>
    <w:rsid w:val="3D793B23"/>
    <w:rsid w:val="3D7F382F"/>
    <w:rsid w:val="3D8E3BE3"/>
    <w:rsid w:val="3D9B2070"/>
    <w:rsid w:val="3D9D1F07"/>
    <w:rsid w:val="3DA73530"/>
    <w:rsid w:val="3DA90DC1"/>
    <w:rsid w:val="3DBA6B1A"/>
    <w:rsid w:val="3DBC05DF"/>
    <w:rsid w:val="3DBC5865"/>
    <w:rsid w:val="3DC21572"/>
    <w:rsid w:val="3DC471FE"/>
    <w:rsid w:val="3DCA6BEF"/>
    <w:rsid w:val="3DCB6A74"/>
    <w:rsid w:val="3DCC6348"/>
    <w:rsid w:val="3DD75419"/>
    <w:rsid w:val="3DE47B36"/>
    <w:rsid w:val="3DEE6571"/>
    <w:rsid w:val="3DF0669D"/>
    <w:rsid w:val="3DF06995"/>
    <w:rsid w:val="3DF7121D"/>
    <w:rsid w:val="3E066ED8"/>
    <w:rsid w:val="3E0716EF"/>
    <w:rsid w:val="3E0D5FDE"/>
    <w:rsid w:val="3E19267F"/>
    <w:rsid w:val="3E1F451F"/>
    <w:rsid w:val="3E24417C"/>
    <w:rsid w:val="3E295549"/>
    <w:rsid w:val="3E2D7F83"/>
    <w:rsid w:val="3E376C3D"/>
    <w:rsid w:val="3E483BB4"/>
    <w:rsid w:val="3E5F562D"/>
    <w:rsid w:val="3E617601"/>
    <w:rsid w:val="3E6D18D9"/>
    <w:rsid w:val="3E73290A"/>
    <w:rsid w:val="3E732CE2"/>
    <w:rsid w:val="3E75078E"/>
    <w:rsid w:val="3E7C0DB9"/>
    <w:rsid w:val="3E8A63D2"/>
    <w:rsid w:val="3EA81721"/>
    <w:rsid w:val="3EAF4EEC"/>
    <w:rsid w:val="3ECC3DB1"/>
    <w:rsid w:val="3ECF4342"/>
    <w:rsid w:val="3EE15843"/>
    <w:rsid w:val="3EE576C2"/>
    <w:rsid w:val="3F0062A9"/>
    <w:rsid w:val="3F0A35CC"/>
    <w:rsid w:val="3F0A7128"/>
    <w:rsid w:val="3F0D475E"/>
    <w:rsid w:val="3F11495A"/>
    <w:rsid w:val="3F2476AB"/>
    <w:rsid w:val="3F2E09B5"/>
    <w:rsid w:val="3F316DAB"/>
    <w:rsid w:val="3F373C95"/>
    <w:rsid w:val="3F376566"/>
    <w:rsid w:val="3F435380"/>
    <w:rsid w:val="3F5A7719"/>
    <w:rsid w:val="3F5B687F"/>
    <w:rsid w:val="3F632CDD"/>
    <w:rsid w:val="3F79434E"/>
    <w:rsid w:val="3F7D5B4C"/>
    <w:rsid w:val="3F7E3672"/>
    <w:rsid w:val="3F8205BE"/>
    <w:rsid w:val="3F87358B"/>
    <w:rsid w:val="3F95733A"/>
    <w:rsid w:val="3F961B94"/>
    <w:rsid w:val="3FA31E92"/>
    <w:rsid w:val="3FAD1F40"/>
    <w:rsid w:val="3FAF4B0B"/>
    <w:rsid w:val="3FB2315C"/>
    <w:rsid w:val="3FB4297A"/>
    <w:rsid w:val="3FDF6716"/>
    <w:rsid w:val="3FEC4A80"/>
    <w:rsid w:val="3FFB622F"/>
    <w:rsid w:val="3FFD4EDF"/>
    <w:rsid w:val="40044AE9"/>
    <w:rsid w:val="40111EE9"/>
    <w:rsid w:val="40182028"/>
    <w:rsid w:val="40227ED1"/>
    <w:rsid w:val="403326AF"/>
    <w:rsid w:val="403A1C93"/>
    <w:rsid w:val="40490517"/>
    <w:rsid w:val="405A5E8D"/>
    <w:rsid w:val="405D597D"/>
    <w:rsid w:val="40610FCA"/>
    <w:rsid w:val="40642868"/>
    <w:rsid w:val="406D5354"/>
    <w:rsid w:val="407968F4"/>
    <w:rsid w:val="408260F1"/>
    <w:rsid w:val="40A8309D"/>
    <w:rsid w:val="40AF2AD9"/>
    <w:rsid w:val="40B07D2D"/>
    <w:rsid w:val="40B54254"/>
    <w:rsid w:val="40C90B3F"/>
    <w:rsid w:val="40D95004"/>
    <w:rsid w:val="40F31782"/>
    <w:rsid w:val="40F8571D"/>
    <w:rsid w:val="40F86146"/>
    <w:rsid w:val="40F947AA"/>
    <w:rsid w:val="410477BC"/>
    <w:rsid w:val="41122B9C"/>
    <w:rsid w:val="4112429B"/>
    <w:rsid w:val="411C1948"/>
    <w:rsid w:val="41250249"/>
    <w:rsid w:val="413606A8"/>
    <w:rsid w:val="4140157C"/>
    <w:rsid w:val="414242C1"/>
    <w:rsid w:val="414639CD"/>
    <w:rsid w:val="414966A8"/>
    <w:rsid w:val="41505224"/>
    <w:rsid w:val="41523008"/>
    <w:rsid w:val="4158226E"/>
    <w:rsid w:val="41591C7F"/>
    <w:rsid w:val="41720B0F"/>
    <w:rsid w:val="41852C82"/>
    <w:rsid w:val="418568F3"/>
    <w:rsid w:val="418900FA"/>
    <w:rsid w:val="41923405"/>
    <w:rsid w:val="41986C6D"/>
    <w:rsid w:val="41992059"/>
    <w:rsid w:val="41A05E7C"/>
    <w:rsid w:val="41B62330"/>
    <w:rsid w:val="41C30F3D"/>
    <w:rsid w:val="41CE332F"/>
    <w:rsid w:val="41D43A1D"/>
    <w:rsid w:val="41D63C39"/>
    <w:rsid w:val="41D659E7"/>
    <w:rsid w:val="41E0244A"/>
    <w:rsid w:val="41E95538"/>
    <w:rsid w:val="41EA17DD"/>
    <w:rsid w:val="41EC01E4"/>
    <w:rsid w:val="41EE2B3D"/>
    <w:rsid w:val="42075BA1"/>
    <w:rsid w:val="4209489E"/>
    <w:rsid w:val="42203B5D"/>
    <w:rsid w:val="422E75D1"/>
    <w:rsid w:val="42312C1E"/>
    <w:rsid w:val="4231604C"/>
    <w:rsid w:val="423545ED"/>
    <w:rsid w:val="42380450"/>
    <w:rsid w:val="423A4477"/>
    <w:rsid w:val="423B60CE"/>
    <w:rsid w:val="4263265C"/>
    <w:rsid w:val="426609E3"/>
    <w:rsid w:val="42715C82"/>
    <w:rsid w:val="42715D19"/>
    <w:rsid w:val="427D5E63"/>
    <w:rsid w:val="42994E0A"/>
    <w:rsid w:val="42A45AE6"/>
    <w:rsid w:val="42B31885"/>
    <w:rsid w:val="42B54A94"/>
    <w:rsid w:val="42C64EEB"/>
    <w:rsid w:val="42C910F7"/>
    <w:rsid w:val="42DE4B54"/>
    <w:rsid w:val="42EA1D90"/>
    <w:rsid w:val="42ED3934"/>
    <w:rsid w:val="43014CE6"/>
    <w:rsid w:val="43022B82"/>
    <w:rsid w:val="431D7579"/>
    <w:rsid w:val="432307B8"/>
    <w:rsid w:val="43252782"/>
    <w:rsid w:val="43394480"/>
    <w:rsid w:val="4348470E"/>
    <w:rsid w:val="435069BB"/>
    <w:rsid w:val="436A288B"/>
    <w:rsid w:val="437131D6"/>
    <w:rsid w:val="437D0424"/>
    <w:rsid w:val="437D25BE"/>
    <w:rsid w:val="437E1E93"/>
    <w:rsid w:val="438731A7"/>
    <w:rsid w:val="43885E71"/>
    <w:rsid w:val="43AC6A00"/>
    <w:rsid w:val="43B60249"/>
    <w:rsid w:val="43B60505"/>
    <w:rsid w:val="43C31B62"/>
    <w:rsid w:val="43C57AC2"/>
    <w:rsid w:val="43CF5CAE"/>
    <w:rsid w:val="43D3156C"/>
    <w:rsid w:val="43D36FB8"/>
    <w:rsid w:val="43DE0B83"/>
    <w:rsid w:val="43E624C2"/>
    <w:rsid w:val="43EE5AE1"/>
    <w:rsid w:val="43F07E7B"/>
    <w:rsid w:val="43F52013"/>
    <w:rsid w:val="44023082"/>
    <w:rsid w:val="44024872"/>
    <w:rsid w:val="441647C1"/>
    <w:rsid w:val="44185B21"/>
    <w:rsid w:val="441C395B"/>
    <w:rsid w:val="44350EF2"/>
    <w:rsid w:val="44384BE4"/>
    <w:rsid w:val="44405732"/>
    <w:rsid w:val="444635CE"/>
    <w:rsid w:val="444D3ECB"/>
    <w:rsid w:val="4475773A"/>
    <w:rsid w:val="44767830"/>
    <w:rsid w:val="44780FD8"/>
    <w:rsid w:val="44847286"/>
    <w:rsid w:val="448E07FB"/>
    <w:rsid w:val="449239A1"/>
    <w:rsid w:val="44954527"/>
    <w:rsid w:val="44A677E1"/>
    <w:rsid w:val="44A92F3F"/>
    <w:rsid w:val="44AE027F"/>
    <w:rsid w:val="44B0698A"/>
    <w:rsid w:val="44B52613"/>
    <w:rsid w:val="44BA37A0"/>
    <w:rsid w:val="44C55E6E"/>
    <w:rsid w:val="44D03FD1"/>
    <w:rsid w:val="44D75CFE"/>
    <w:rsid w:val="44DF1057"/>
    <w:rsid w:val="44E4666D"/>
    <w:rsid w:val="44F22B38"/>
    <w:rsid w:val="4508235C"/>
    <w:rsid w:val="45086715"/>
    <w:rsid w:val="452627E2"/>
    <w:rsid w:val="45385785"/>
    <w:rsid w:val="45427BE6"/>
    <w:rsid w:val="454B3FF6"/>
    <w:rsid w:val="454D5FC1"/>
    <w:rsid w:val="4554212D"/>
    <w:rsid w:val="4557299B"/>
    <w:rsid w:val="455A06DD"/>
    <w:rsid w:val="45616139"/>
    <w:rsid w:val="456A6B72"/>
    <w:rsid w:val="458D2EB9"/>
    <w:rsid w:val="45A8769B"/>
    <w:rsid w:val="45AA5E9B"/>
    <w:rsid w:val="45B16107"/>
    <w:rsid w:val="45BE4981"/>
    <w:rsid w:val="45BE6EBE"/>
    <w:rsid w:val="45CF2E79"/>
    <w:rsid w:val="45D74A2E"/>
    <w:rsid w:val="45D91A95"/>
    <w:rsid w:val="460A7521"/>
    <w:rsid w:val="461B748C"/>
    <w:rsid w:val="461F1222"/>
    <w:rsid w:val="46201A14"/>
    <w:rsid w:val="46274E89"/>
    <w:rsid w:val="462A6302"/>
    <w:rsid w:val="46304712"/>
    <w:rsid w:val="46326F64"/>
    <w:rsid w:val="463B4527"/>
    <w:rsid w:val="463C0748"/>
    <w:rsid w:val="4645313C"/>
    <w:rsid w:val="464D6EED"/>
    <w:rsid w:val="465B3E54"/>
    <w:rsid w:val="466C2476"/>
    <w:rsid w:val="46764C27"/>
    <w:rsid w:val="467B090B"/>
    <w:rsid w:val="468C29C5"/>
    <w:rsid w:val="46A71700"/>
    <w:rsid w:val="46A75BA4"/>
    <w:rsid w:val="46B11DF1"/>
    <w:rsid w:val="46BA1434"/>
    <w:rsid w:val="46C401C1"/>
    <w:rsid w:val="46CE3131"/>
    <w:rsid w:val="46DC227E"/>
    <w:rsid w:val="46E841F3"/>
    <w:rsid w:val="46EC2D0A"/>
    <w:rsid w:val="47084D52"/>
    <w:rsid w:val="470E5EB4"/>
    <w:rsid w:val="47174AD8"/>
    <w:rsid w:val="471A6376"/>
    <w:rsid w:val="47213261"/>
    <w:rsid w:val="473E0F36"/>
    <w:rsid w:val="473F20A2"/>
    <w:rsid w:val="47732EB5"/>
    <w:rsid w:val="477E5D36"/>
    <w:rsid w:val="477F2A55"/>
    <w:rsid w:val="47874D2A"/>
    <w:rsid w:val="47881350"/>
    <w:rsid w:val="478A0415"/>
    <w:rsid w:val="478D6B48"/>
    <w:rsid w:val="47941C85"/>
    <w:rsid w:val="47975C19"/>
    <w:rsid w:val="479A36C2"/>
    <w:rsid w:val="47B5129E"/>
    <w:rsid w:val="47B94DCA"/>
    <w:rsid w:val="47C64B24"/>
    <w:rsid w:val="47C7339E"/>
    <w:rsid w:val="47CF09E2"/>
    <w:rsid w:val="47CF53B3"/>
    <w:rsid w:val="47D96F10"/>
    <w:rsid w:val="47DF4F68"/>
    <w:rsid w:val="47DF52F9"/>
    <w:rsid w:val="47E46DC4"/>
    <w:rsid w:val="47EC2073"/>
    <w:rsid w:val="47ED1D20"/>
    <w:rsid w:val="47ED2183"/>
    <w:rsid w:val="47F80D12"/>
    <w:rsid w:val="47FB2FFA"/>
    <w:rsid w:val="48027536"/>
    <w:rsid w:val="4805359A"/>
    <w:rsid w:val="480B6EA9"/>
    <w:rsid w:val="480D221F"/>
    <w:rsid w:val="4816043B"/>
    <w:rsid w:val="481D53D0"/>
    <w:rsid w:val="4824086B"/>
    <w:rsid w:val="4828061F"/>
    <w:rsid w:val="483002F3"/>
    <w:rsid w:val="48643D4D"/>
    <w:rsid w:val="486565E3"/>
    <w:rsid w:val="487877F8"/>
    <w:rsid w:val="487D6BBD"/>
    <w:rsid w:val="487E59D6"/>
    <w:rsid w:val="48933EB2"/>
    <w:rsid w:val="489765CC"/>
    <w:rsid w:val="489A1E57"/>
    <w:rsid w:val="48A25AA1"/>
    <w:rsid w:val="48A405ED"/>
    <w:rsid w:val="48AA54D8"/>
    <w:rsid w:val="48AB4939"/>
    <w:rsid w:val="48B30F24"/>
    <w:rsid w:val="48BF71D5"/>
    <w:rsid w:val="48C86ACF"/>
    <w:rsid w:val="48CF57F9"/>
    <w:rsid w:val="48EC4B92"/>
    <w:rsid w:val="48F425D4"/>
    <w:rsid w:val="48F62E6E"/>
    <w:rsid w:val="490B09E0"/>
    <w:rsid w:val="49115557"/>
    <w:rsid w:val="4916437D"/>
    <w:rsid w:val="491B7F95"/>
    <w:rsid w:val="49250F1F"/>
    <w:rsid w:val="492B42B0"/>
    <w:rsid w:val="49331971"/>
    <w:rsid w:val="49411B78"/>
    <w:rsid w:val="49571F56"/>
    <w:rsid w:val="49777AB0"/>
    <w:rsid w:val="498448C0"/>
    <w:rsid w:val="49885831"/>
    <w:rsid w:val="498F4DFA"/>
    <w:rsid w:val="49971F00"/>
    <w:rsid w:val="49CF51F6"/>
    <w:rsid w:val="49D63C59"/>
    <w:rsid w:val="49E4711A"/>
    <w:rsid w:val="49EB5DA8"/>
    <w:rsid w:val="49F61BC0"/>
    <w:rsid w:val="4A0B5227"/>
    <w:rsid w:val="4A1662C6"/>
    <w:rsid w:val="4A272F35"/>
    <w:rsid w:val="4A3A1048"/>
    <w:rsid w:val="4A505423"/>
    <w:rsid w:val="4A6256C5"/>
    <w:rsid w:val="4A631F37"/>
    <w:rsid w:val="4A64451E"/>
    <w:rsid w:val="4A7162AD"/>
    <w:rsid w:val="4A746592"/>
    <w:rsid w:val="4A7F56CF"/>
    <w:rsid w:val="4A814240"/>
    <w:rsid w:val="4A891D49"/>
    <w:rsid w:val="4A9321E8"/>
    <w:rsid w:val="4A9E0D75"/>
    <w:rsid w:val="4A9F5966"/>
    <w:rsid w:val="4AA246B9"/>
    <w:rsid w:val="4AA441BD"/>
    <w:rsid w:val="4AB16FF2"/>
    <w:rsid w:val="4AB24999"/>
    <w:rsid w:val="4AD51418"/>
    <w:rsid w:val="4AE37919"/>
    <w:rsid w:val="4B0143D9"/>
    <w:rsid w:val="4B0F432B"/>
    <w:rsid w:val="4B1766B8"/>
    <w:rsid w:val="4B1B26BD"/>
    <w:rsid w:val="4B425A46"/>
    <w:rsid w:val="4B4F4E0A"/>
    <w:rsid w:val="4B5C0D0B"/>
    <w:rsid w:val="4B5F73BB"/>
    <w:rsid w:val="4B6B7151"/>
    <w:rsid w:val="4B7E3DF2"/>
    <w:rsid w:val="4B863FDA"/>
    <w:rsid w:val="4B93248E"/>
    <w:rsid w:val="4B964506"/>
    <w:rsid w:val="4B9A5CD8"/>
    <w:rsid w:val="4BA34342"/>
    <w:rsid w:val="4BA77414"/>
    <w:rsid w:val="4BB173AB"/>
    <w:rsid w:val="4BB607A3"/>
    <w:rsid w:val="4BC66ACD"/>
    <w:rsid w:val="4BCE3924"/>
    <w:rsid w:val="4BCE772F"/>
    <w:rsid w:val="4BE60F1D"/>
    <w:rsid w:val="4BF2341E"/>
    <w:rsid w:val="4BF74D6B"/>
    <w:rsid w:val="4BF93791"/>
    <w:rsid w:val="4BFB2606"/>
    <w:rsid w:val="4BFC701B"/>
    <w:rsid w:val="4C050288"/>
    <w:rsid w:val="4C1C66ED"/>
    <w:rsid w:val="4C2B51F3"/>
    <w:rsid w:val="4C2E0B42"/>
    <w:rsid w:val="4C3567C3"/>
    <w:rsid w:val="4C4505D0"/>
    <w:rsid w:val="4C46376A"/>
    <w:rsid w:val="4C4C5841"/>
    <w:rsid w:val="4C51799C"/>
    <w:rsid w:val="4C586038"/>
    <w:rsid w:val="4C630413"/>
    <w:rsid w:val="4C697913"/>
    <w:rsid w:val="4C6F1FED"/>
    <w:rsid w:val="4C793B3F"/>
    <w:rsid w:val="4C7B3AD2"/>
    <w:rsid w:val="4C7E3252"/>
    <w:rsid w:val="4C891DF1"/>
    <w:rsid w:val="4C8962C0"/>
    <w:rsid w:val="4C901F1E"/>
    <w:rsid w:val="4C940979"/>
    <w:rsid w:val="4C99395E"/>
    <w:rsid w:val="4C9B5A31"/>
    <w:rsid w:val="4CA46E0E"/>
    <w:rsid w:val="4CAB77F3"/>
    <w:rsid w:val="4CB42DC9"/>
    <w:rsid w:val="4CB67A9B"/>
    <w:rsid w:val="4CBE68DE"/>
    <w:rsid w:val="4CC56D84"/>
    <w:rsid w:val="4CC87280"/>
    <w:rsid w:val="4CCA2AA8"/>
    <w:rsid w:val="4CCC0C83"/>
    <w:rsid w:val="4CD26B56"/>
    <w:rsid w:val="4CE61AFC"/>
    <w:rsid w:val="4CE77DB4"/>
    <w:rsid w:val="4CF237DD"/>
    <w:rsid w:val="4CF60CEC"/>
    <w:rsid w:val="4CF836C6"/>
    <w:rsid w:val="4D004072"/>
    <w:rsid w:val="4D1426D2"/>
    <w:rsid w:val="4D150B02"/>
    <w:rsid w:val="4D283469"/>
    <w:rsid w:val="4D2B5B95"/>
    <w:rsid w:val="4D490596"/>
    <w:rsid w:val="4D4E01F5"/>
    <w:rsid w:val="4D557DF9"/>
    <w:rsid w:val="4D5F25D7"/>
    <w:rsid w:val="4D632BE4"/>
    <w:rsid w:val="4D733337"/>
    <w:rsid w:val="4D737C3B"/>
    <w:rsid w:val="4D7978BC"/>
    <w:rsid w:val="4D8301CE"/>
    <w:rsid w:val="4D9A5B1B"/>
    <w:rsid w:val="4D9C5D37"/>
    <w:rsid w:val="4DAD696C"/>
    <w:rsid w:val="4DC40DEA"/>
    <w:rsid w:val="4DCA5DBC"/>
    <w:rsid w:val="4DCD61DC"/>
    <w:rsid w:val="4DCD7C9F"/>
    <w:rsid w:val="4DE1199C"/>
    <w:rsid w:val="4DEF40B9"/>
    <w:rsid w:val="4DF45B0E"/>
    <w:rsid w:val="4DF809E1"/>
    <w:rsid w:val="4E006416"/>
    <w:rsid w:val="4E013AFB"/>
    <w:rsid w:val="4E0B5A93"/>
    <w:rsid w:val="4E14393B"/>
    <w:rsid w:val="4E173382"/>
    <w:rsid w:val="4E191136"/>
    <w:rsid w:val="4E200716"/>
    <w:rsid w:val="4E21448E"/>
    <w:rsid w:val="4E306E72"/>
    <w:rsid w:val="4E347D1E"/>
    <w:rsid w:val="4E390C24"/>
    <w:rsid w:val="4E442C5F"/>
    <w:rsid w:val="4E4568AF"/>
    <w:rsid w:val="4E550AAE"/>
    <w:rsid w:val="4E677FFC"/>
    <w:rsid w:val="4E685C19"/>
    <w:rsid w:val="4E697FB9"/>
    <w:rsid w:val="4E802B2D"/>
    <w:rsid w:val="4E87437C"/>
    <w:rsid w:val="4E905A50"/>
    <w:rsid w:val="4E9702AC"/>
    <w:rsid w:val="4EA01857"/>
    <w:rsid w:val="4EA75BA3"/>
    <w:rsid w:val="4EB038C3"/>
    <w:rsid w:val="4EB250E6"/>
    <w:rsid w:val="4EB33338"/>
    <w:rsid w:val="4EBA72F0"/>
    <w:rsid w:val="4EBC1013"/>
    <w:rsid w:val="4EBE21D3"/>
    <w:rsid w:val="4ECB4B86"/>
    <w:rsid w:val="4ECC61A8"/>
    <w:rsid w:val="4ED17C62"/>
    <w:rsid w:val="4ED6211E"/>
    <w:rsid w:val="4EE91967"/>
    <w:rsid w:val="4EEC23A6"/>
    <w:rsid w:val="4EEF5BC5"/>
    <w:rsid w:val="4F08290B"/>
    <w:rsid w:val="4F134DB5"/>
    <w:rsid w:val="4F155DA1"/>
    <w:rsid w:val="4F161B19"/>
    <w:rsid w:val="4F1B0EDE"/>
    <w:rsid w:val="4F2378DF"/>
    <w:rsid w:val="4F251D5C"/>
    <w:rsid w:val="4F336227"/>
    <w:rsid w:val="4F3509EB"/>
    <w:rsid w:val="4F3828C3"/>
    <w:rsid w:val="4F42670C"/>
    <w:rsid w:val="4F5E1F4D"/>
    <w:rsid w:val="4F6D25B3"/>
    <w:rsid w:val="4F7F146C"/>
    <w:rsid w:val="4F8D612B"/>
    <w:rsid w:val="4F8E345D"/>
    <w:rsid w:val="4F9547EC"/>
    <w:rsid w:val="4F993B3C"/>
    <w:rsid w:val="4F9C201E"/>
    <w:rsid w:val="4FA47125"/>
    <w:rsid w:val="4FA862AE"/>
    <w:rsid w:val="4FAC11BF"/>
    <w:rsid w:val="4FC5497A"/>
    <w:rsid w:val="4FD51E3B"/>
    <w:rsid w:val="5005025E"/>
    <w:rsid w:val="50311EE8"/>
    <w:rsid w:val="5055145E"/>
    <w:rsid w:val="505541A2"/>
    <w:rsid w:val="50555755"/>
    <w:rsid w:val="50585DB9"/>
    <w:rsid w:val="507E7F06"/>
    <w:rsid w:val="508036EE"/>
    <w:rsid w:val="50831D1B"/>
    <w:rsid w:val="50AB003F"/>
    <w:rsid w:val="50AF413D"/>
    <w:rsid w:val="50B67110"/>
    <w:rsid w:val="50BB4319"/>
    <w:rsid w:val="50D21A70"/>
    <w:rsid w:val="50E44C48"/>
    <w:rsid w:val="50E81293"/>
    <w:rsid w:val="50E84DEF"/>
    <w:rsid w:val="50EC21B3"/>
    <w:rsid w:val="50F13536"/>
    <w:rsid w:val="510323AA"/>
    <w:rsid w:val="513161F7"/>
    <w:rsid w:val="51320857"/>
    <w:rsid w:val="515F6190"/>
    <w:rsid w:val="51602114"/>
    <w:rsid w:val="516C6A8E"/>
    <w:rsid w:val="51856AE2"/>
    <w:rsid w:val="5186487A"/>
    <w:rsid w:val="5187285A"/>
    <w:rsid w:val="51894104"/>
    <w:rsid w:val="518E7DF8"/>
    <w:rsid w:val="51935721"/>
    <w:rsid w:val="519C3527"/>
    <w:rsid w:val="519E63E2"/>
    <w:rsid w:val="51A27694"/>
    <w:rsid w:val="51A8684A"/>
    <w:rsid w:val="51AC22C9"/>
    <w:rsid w:val="51B24063"/>
    <w:rsid w:val="51C87526"/>
    <w:rsid w:val="51CD2963"/>
    <w:rsid w:val="51D479CD"/>
    <w:rsid w:val="51D75590"/>
    <w:rsid w:val="51E732F9"/>
    <w:rsid w:val="51F52C09"/>
    <w:rsid w:val="51FF4AE6"/>
    <w:rsid w:val="520C05A1"/>
    <w:rsid w:val="520D5E6B"/>
    <w:rsid w:val="5218514C"/>
    <w:rsid w:val="521E2F6E"/>
    <w:rsid w:val="522258CA"/>
    <w:rsid w:val="52262073"/>
    <w:rsid w:val="52341568"/>
    <w:rsid w:val="523A3177"/>
    <w:rsid w:val="524424F9"/>
    <w:rsid w:val="52473190"/>
    <w:rsid w:val="52473A43"/>
    <w:rsid w:val="52522E68"/>
    <w:rsid w:val="526112FD"/>
    <w:rsid w:val="5266714D"/>
    <w:rsid w:val="52736A7E"/>
    <w:rsid w:val="52752746"/>
    <w:rsid w:val="52841ED0"/>
    <w:rsid w:val="52886E65"/>
    <w:rsid w:val="528E18DA"/>
    <w:rsid w:val="5298545E"/>
    <w:rsid w:val="529A65BD"/>
    <w:rsid w:val="52A347DC"/>
    <w:rsid w:val="52AA44FA"/>
    <w:rsid w:val="52AC60B3"/>
    <w:rsid w:val="52CC4967"/>
    <w:rsid w:val="52CD0741"/>
    <w:rsid w:val="52CF44B9"/>
    <w:rsid w:val="52D11560"/>
    <w:rsid w:val="52D90E94"/>
    <w:rsid w:val="52D944F7"/>
    <w:rsid w:val="52E60925"/>
    <w:rsid w:val="52E71802"/>
    <w:rsid w:val="52E86C1A"/>
    <w:rsid w:val="52EC0C86"/>
    <w:rsid w:val="52F935C6"/>
    <w:rsid w:val="5311687F"/>
    <w:rsid w:val="532730F0"/>
    <w:rsid w:val="532A0236"/>
    <w:rsid w:val="53314014"/>
    <w:rsid w:val="5340463D"/>
    <w:rsid w:val="53424B16"/>
    <w:rsid w:val="53452590"/>
    <w:rsid w:val="53486019"/>
    <w:rsid w:val="534C3D5B"/>
    <w:rsid w:val="534F2C2F"/>
    <w:rsid w:val="5352154F"/>
    <w:rsid w:val="535A66FB"/>
    <w:rsid w:val="535F08F2"/>
    <w:rsid w:val="536015B5"/>
    <w:rsid w:val="5361189D"/>
    <w:rsid w:val="53682217"/>
    <w:rsid w:val="539B23CA"/>
    <w:rsid w:val="539C44AB"/>
    <w:rsid w:val="539D0FFC"/>
    <w:rsid w:val="53B76F60"/>
    <w:rsid w:val="53CE53EA"/>
    <w:rsid w:val="53D14261"/>
    <w:rsid w:val="53E619C7"/>
    <w:rsid w:val="53F641AA"/>
    <w:rsid w:val="54047E67"/>
    <w:rsid w:val="54063F0A"/>
    <w:rsid w:val="541F4B01"/>
    <w:rsid w:val="54244390"/>
    <w:rsid w:val="542919A7"/>
    <w:rsid w:val="54433E70"/>
    <w:rsid w:val="544F218A"/>
    <w:rsid w:val="54535B38"/>
    <w:rsid w:val="545371DD"/>
    <w:rsid w:val="54581261"/>
    <w:rsid w:val="54596730"/>
    <w:rsid w:val="545E5460"/>
    <w:rsid w:val="54721458"/>
    <w:rsid w:val="549239F0"/>
    <w:rsid w:val="54977258"/>
    <w:rsid w:val="54994D7E"/>
    <w:rsid w:val="54A43723"/>
    <w:rsid w:val="54B35714"/>
    <w:rsid w:val="54BB6065"/>
    <w:rsid w:val="54CA3CF1"/>
    <w:rsid w:val="54CD202B"/>
    <w:rsid w:val="54D07368"/>
    <w:rsid w:val="54DB61E1"/>
    <w:rsid w:val="54E9355C"/>
    <w:rsid w:val="54F11878"/>
    <w:rsid w:val="551B7BEF"/>
    <w:rsid w:val="551E3BF4"/>
    <w:rsid w:val="55333A69"/>
    <w:rsid w:val="55356037"/>
    <w:rsid w:val="5536081F"/>
    <w:rsid w:val="55382A75"/>
    <w:rsid w:val="5540169E"/>
    <w:rsid w:val="554C7406"/>
    <w:rsid w:val="554D4B08"/>
    <w:rsid w:val="55517044"/>
    <w:rsid w:val="555667CB"/>
    <w:rsid w:val="556A5B4E"/>
    <w:rsid w:val="556F3D31"/>
    <w:rsid w:val="55747C16"/>
    <w:rsid w:val="5592288D"/>
    <w:rsid w:val="559D6E66"/>
    <w:rsid w:val="559F0103"/>
    <w:rsid w:val="55A31DA8"/>
    <w:rsid w:val="55BB7EC7"/>
    <w:rsid w:val="55C678D1"/>
    <w:rsid w:val="55E4241F"/>
    <w:rsid w:val="55EA2C93"/>
    <w:rsid w:val="55EA58BC"/>
    <w:rsid w:val="55F61F02"/>
    <w:rsid w:val="55FB55C5"/>
    <w:rsid w:val="560B3A5A"/>
    <w:rsid w:val="56222B52"/>
    <w:rsid w:val="5624201E"/>
    <w:rsid w:val="56312D95"/>
    <w:rsid w:val="56361C31"/>
    <w:rsid w:val="563A77D2"/>
    <w:rsid w:val="564A6EEB"/>
    <w:rsid w:val="564E4D2F"/>
    <w:rsid w:val="566109ED"/>
    <w:rsid w:val="56620606"/>
    <w:rsid w:val="56676D81"/>
    <w:rsid w:val="566B274A"/>
    <w:rsid w:val="566C6F92"/>
    <w:rsid w:val="5673378A"/>
    <w:rsid w:val="56755377"/>
    <w:rsid w:val="56777341"/>
    <w:rsid w:val="56874E26"/>
    <w:rsid w:val="5697217E"/>
    <w:rsid w:val="5697709C"/>
    <w:rsid w:val="569C290B"/>
    <w:rsid w:val="56A57C7C"/>
    <w:rsid w:val="56BA0FDC"/>
    <w:rsid w:val="56C505DB"/>
    <w:rsid w:val="56C854A7"/>
    <w:rsid w:val="56CE19F3"/>
    <w:rsid w:val="56D549E6"/>
    <w:rsid w:val="56D72E1C"/>
    <w:rsid w:val="56DA5EA8"/>
    <w:rsid w:val="56DC37B4"/>
    <w:rsid w:val="56DC6DA4"/>
    <w:rsid w:val="56E12A0D"/>
    <w:rsid w:val="56E30533"/>
    <w:rsid w:val="56F91B04"/>
    <w:rsid w:val="56FF3B6B"/>
    <w:rsid w:val="571305BA"/>
    <w:rsid w:val="57193F55"/>
    <w:rsid w:val="571E156B"/>
    <w:rsid w:val="57207B81"/>
    <w:rsid w:val="5737087F"/>
    <w:rsid w:val="573B796E"/>
    <w:rsid w:val="57450217"/>
    <w:rsid w:val="574A2360"/>
    <w:rsid w:val="574B7E86"/>
    <w:rsid w:val="575063E1"/>
    <w:rsid w:val="575945C4"/>
    <w:rsid w:val="5767055B"/>
    <w:rsid w:val="577928FE"/>
    <w:rsid w:val="577E34BE"/>
    <w:rsid w:val="577F30F6"/>
    <w:rsid w:val="57886AF3"/>
    <w:rsid w:val="57AC4DC9"/>
    <w:rsid w:val="57B13995"/>
    <w:rsid w:val="57B20674"/>
    <w:rsid w:val="57BD0D84"/>
    <w:rsid w:val="57C71437"/>
    <w:rsid w:val="57CE3261"/>
    <w:rsid w:val="57DD31D4"/>
    <w:rsid w:val="57EE3633"/>
    <w:rsid w:val="57EF2902"/>
    <w:rsid w:val="57F358C7"/>
    <w:rsid w:val="57F973BA"/>
    <w:rsid w:val="58027680"/>
    <w:rsid w:val="58133EC7"/>
    <w:rsid w:val="58164938"/>
    <w:rsid w:val="58190752"/>
    <w:rsid w:val="581C0015"/>
    <w:rsid w:val="583D3C73"/>
    <w:rsid w:val="584119B5"/>
    <w:rsid w:val="584D68B5"/>
    <w:rsid w:val="5853442B"/>
    <w:rsid w:val="58535F44"/>
    <w:rsid w:val="585D7818"/>
    <w:rsid w:val="5862192B"/>
    <w:rsid w:val="586D648B"/>
    <w:rsid w:val="58783407"/>
    <w:rsid w:val="587C3602"/>
    <w:rsid w:val="588119CB"/>
    <w:rsid w:val="58920462"/>
    <w:rsid w:val="58985461"/>
    <w:rsid w:val="58A67A6A"/>
    <w:rsid w:val="58C04792"/>
    <w:rsid w:val="58CD7093"/>
    <w:rsid w:val="58DC52A4"/>
    <w:rsid w:val="58F16199"/>
    <w:rsid w:val="590D5D3B"/>
    <w:rsid w:val="59111297"/>
    <w:rsid w:val="59142EF1"/>
    <w:rsid w:val="591A1C3B"/>
    <w:rsid w:val="592A2449"/>
    <w:rsid w:val="59377486"/>
    <w:rsid w:val="593D3544"/>
    <w:rsid w:val="59466213"/>
    <w:rsid w:val="59554FEC"/>
    <w:rsid w:val="595D3692"/>
    <w:rsid w:val="5965013D"/>
    <w:rsid w:val="5966544B"/>
    <w:rsid w:val="596A6CE9"/>
    <w:rsid w:val="59777658"/>
    <w:rsid w:val="597933D0"/>
    <w:rsid w:val="597F5E7B"/>
    <w:rsid w:val="59961543"/>
    <w:rsid w:val="599C6543"/>
    <w:rsid w:val="59A5188F"/>
    <w:rsid w:val="59AA0170"/>
    <w:rsid w:val="59B87420"/>
    <w:rsid w:val="59BB7545"/>
    <w:rsid w:val="59BD32BD"/>
    <w:rsid w:val="59BE7EBD"/>
    <w:rsid w:val="59C4289D"/>
    <w:rsid w:val="59CB55FE"/>
    <w:rsid w:val="59CC0136"/>
    <w:rsid w:val="59CC1752"/>
    <w:rsid w:val="59DF3316"/>
    <w:rsid w:val="59EA1233"/>
    <w:rsid w:val="59FB5B93"/>
    <w:rsid w:val="5A06374F"/>
    <w:rsid w:val="5A0C3E0E"/>
    <w:rsid w:val="5A11196A"/>
    <w:rsid w:val="5A2A2770"/>
    <w:rsid w:val="5A3503B5"/>
    <w:rsid w:val="5A406C47"/>
    <w:rsid w:val="5A4E2502"/>
    <w:rsid w:val="5A543364"/>
    <w:rsid w:val="5A617793"/>
    <w:rsid w:val="5A6436BE"/>
    <w:rsid w:val="5A7360FC"/>
    <w:rsid w:val="5A825106"/>
    <w:rsid w:val="5A864A50"/>
    <w:rsid w:val="5A8E4C59"/>
    <w:rsid w:val="5A9A35FE"/>
    <w:rsid w:val="5AB31129"/>
    <w:rsid w:val="5AB47BF2"/>
    <w:rsid w:val="5AB71190"/>
    <w:rsid w:val="5ABE4D56"/>
    <w:rsid w:val="5ACB37B8"/>
    <w:rsid w:val="5AD14B46"/>
    <w:rsid w:val="5AD153CC"/>
    <w:rsid w:val="5AD3409D"/>
    <w:rsid w:val="5AD563E4"/>
    <w:rsid w:val="5ADB1319"/>
    <w:rsid w:val="5AE81F24"/>
    <w:rsid w:val="5AEB3E5A"/>
    <w:rsid w:val="5AFC6067"/>
    <w:rsid w:val="5B046CCA"/>
    <w:rsid w:val="5B0966BB"/>
    <w:rsid w:val="5B0B7756"/>
    <w:rsid w:val="5B2A3CFC"/>
    <w:rsid w:val="5B2A410C"/>
    <w:rsid w:val="5B307ABF"/>
    <w:rsid w:val="5B4035A6"/>
    <w:rsid w:val="5B460940"/>
    <w:rsid w:val="5B5714EF"/>
    <w:rsid w:val="5B5A2D8E"/>
    <w:rsid w:val="5B672F0C"/>
    <w:rsid w:val="5B6E0358"/>
    <w:rsid w:val="5B6F05E7"/>
    <w:rsid w:val="5B7064F5"/>
    <w:rsid w:val="5B7810E0"/>
    <w:rsid w:val="5B79395F"/>
    <w:rsid w:val="5B90055D"/>
    <w:rsid w:val="5B97682B"/>
    <w:rsid w:val="5B980BCF"/>
    <w:rsid w:val="5BA57C25"/>
    <w:rsid w:val="5BA84772"/>
    <w:rsid w:val="5BA905C4"/>
    <w:rsid w:val="5BAB1E29"/>
    <w:rsid w:val="5BB134FB"/>
    <w:rsid w:val="5BBB6526"/>
    <w:rsid w:val="5BBE331C"/>
    <w:rsid w:val="5BC366E3"/>
    <w:rsid w:val="5BC92EAB"/>
    <w:rsid w:val="5BD963A8"/>
    <w:rsid w:val="5BDB7A2A"/>
    <w:rsid w:val="5BF13D64"/>
    <w:rsid w:val="5BF82D97"/>
    <w:rsid w:val="5BFA5447"/>
    <w:rsid w:val="5BFF5CAF"/>
    <w:rsid w:val="5C06005F"/>
    <w:rsid w:val="5C1835C5"/>
    <w:rsid w:val="5C190553"/>
    <w:rsid w:val="5C1F3475"/>
    <w:rsid w:val="5C292E8C"/>
    <w:rsid w:val="5C4A2E02"/>
    <w:rsid w:val="5C4C6B7A"/>
    <w:rsid w:val="5C4D6BB5"/>
    <w:rsid w:val="5C531CB7"/>
    <w:rsid w:val="5C5459E8"/>
    <w:rsid w:val="5C5D48E3"/>
    <w:rsid w:val="5C6A517F"/>
    <w:rsid w:val="5C6A7000"/>
    <w:rsid w:val="5C702F46"/>
    <w:rsid w:val="5C7B2FBB"/>
    <w:rsid w:val="5C7B745F"/>
    <w:rsid w:val="5CA170FD"/>
    <w:rsid w:val="5CA442C0"/>
    <w:rsid w:val="5CAB5526"/>
    <w:rsid w:val="5CAC13C7"/>
    <w:rsid w:val="5CB12E81"/>
    <w:rsid w:val="5CC56C0A"/>
    <w:rsid w:val="5CCA3B80"/>
    <w:rsid w:val="5CCD7CBB"/>
    <w:rsid w:val="5CCE6767"/>
    <w:rsid w:val="5CD10E2D"/>
    <w:rsid w:val="5CD44C14"/>
    <w:rsid w:val="5CE61FCA"/>
    <w:rsid w:val="5CED3EB9"/>
    <w:rsid w:val="5CF16050"/>
    <w:rsid w:val="5CF83777"/>
    <w:rsid w:val="5CFF1E3E"/>
    <w:rsid w:val="5D015BB7"/>
    <w:rsid w:val="5D126FB2"/>
    <w:rsid w:val="5D2D2508"/>
    <w:rsid w:val="5D37048E"/>
    <w:rsid w:val="5D3A0123"/>
    <w:rsid w:val="5D411323"/>
    <w:rsid w:val="5D506C47"/>
    <w:rsid w:val="5D634651"/>
    <w:rsid w:val="5D757BE5"/>
    <w:rsid w:val="5D831589"/>
    <w:rsid w:val="5D852344"/>
    <w:rsid w:val="5D870C6B"/>
    <w:rsid w:val="5D8B1788"/>
    <w:rsid w:val="5D8E604F"/>
    <w:rsid w:val="5D9429EC"/>
    <w:rsid w:val="5D950C3E"/>
    <w:rsid w:val="5DA026D7"/>
    <w:rsid w:val="5DA1087A"/>
    <w:rsid w:val="5DA2534D"/>
    <w:rsid w:val="5DA447BC"/>
    <w:rsid w:val="5DA56542"/>
    <w:rsid w:val="5DA622BA"/>
    <w:rsid w:val="5DA64068"/>
    <w:rsid w:val="5DB15A08"/>
    <w:rsid w:val="5DB26EB1"/>
    <w:rsid w:val="5DBF3BCB"/>
    <w:rsid w:val="5DC213F1"/>
    <w:rsid w:val="5DD25A3F"/>
    <w:rsid w:val="5DD74A14"/>
    <w:rsid w:val="5DE81316"/>
    <w:rsid w:val="5DF272AD"/>
    <w:rsid w:val="5E055233"/>
    <w:rsid w:val="5E08087F"/>
    <w:rsid w:val="5E0C7D7C"/>
    <w:rsid w:val="5E0D10E9"/>
    <w:rsid w:val="5E0D4FA9"/>
    <w:rsid w:val="5E0D64CB"/>
    <w:rsid w:val="5E1627FF"/>
    <w:rsid w:val="5E224037"/>
    <w:rsid w:val="5E23390B"/>
    <w:rsid w:val="5E2F0501"/>
    <w:rsid w:val="5E345B18"/>
    <w:rsid w:val="5E36034D"/>
    <w:rsid w:val="5E47584B"/>
    <w:rsid w:val="5E484FB5"/>
    <w:rsid w:val="5E587A58"/>
    <w:rsid w:val="5E60690D"/>
    <w:rsid w:val="5E6301AB"/>
    <w:rsid w:val="5E652175"/>
    <w:rsid w:val="5E654E72"/>
    <w:rsid w:val="5E714676"/>
    <w:rsid w:val="5E814771"/>
    <w:rsid w:val="5EA44A4C"/>
    <w:rsid w:val="5EBB1D95"/>
    <w:rsid w:val="5EC05113"/>
    <w:rsid w:val="5EC24ED2"/>
    <w:rsid w:val="5EC91E84"/>
    <w:rsid w:val="5ED617CE"/>
    <w:rsid w:val="5ED75362"/>
    <w:rsid w:val="5ED846F5"/>
    <w:rsid w:val="5EE75D34"/>
    <w:rsid w:val="5EE969B6"/>
    <w:rsid w:val="5EF65B97"/>
    <w:rsid w:val="5F054B42"/>
    <w:rsid w:val="5F0E45BB"/>
    <w:rsid w:val="5F16521D"/>
    <w:rsid w:val="5F3008CE"/>
    <w:rsid w:val="5F3179D6"/>
    <w:rsid w:val="5F3538F6"/>
    <w:rsid w:val="5F36446E"/>
    <w:rsid w:val="5F574EE8"/>
    <w:rsid w:val="5F5E109E"/>
    <w:rsid w:val="5F6146EB"/>
    <w:rsid w:val="5F661984"/>
    <w:rsid w:val="5F8B3350"/>
    <w:rsid w:val="5F9103D8"/>
    <w:rsid w:val="5FB521ED"/>
    <w:rsid w:val="5FB6620C"/>
    <w:rsid w:val="5FC372CE"/>
    <w:rsid w:val="5FCA2062"/>
    <w:rsid w:val="5FE008FF"/>
    <w:rsid w:val="5FE46D9D"/>
    <w:rsid w:val="5FEA0785"/>
    <w:rsid w:val="5FED41D0"/>
    <w:rsid w:val="5FFA4D3D"/>
    <w:rsid w:val="60065E0F"/>
    <w:rsid w:val="6009648B"/>
    <w:rsid w:val="60145C01"/>
    <w:rsid w:val="601B2AEB"/>
    <w:rsid w:val="6022031E"/>
    <w:rsid w:val="60223A77"/>
    <w:rsid w:val="602A5424"/>
    <w:rsid w:val="602F7663"/>
    <w:rsid w:val="603A39FC"/>
    <w:rsid w:val="603D5AC5"/>
    <w:rsid w:val="604007A4"/>
    <w:rsid w:val="60434E4D"/>
    <w:rsid w:val="60441229"/>
    <w:rsid w:val="60457B68"/>
    <w:rsid w:val="604611AF"/>
    <w:rsid w:val="605129B1"/>
    <w:rsid w:val="6051475F"/>
    <w:rsid w:val="605C7E32"/>
    <w:rsid w:val="605D5991"/>
    <w:rsid w:val="605E6E7C"/>
    <w:rsid w:val="6064624B"/>
    <w:rsid w:val="606E71EE"/>
    <w:rsid w:val="608A4AC9"/>
    <w:rsid w:val="6098413C"/>
    <w:rsid w:val="60A9284C"/>
    <w:rsid w:val="60B620AE"/>
    <w:rsid w:val="60C0138B"/>
    <w:rsid w:val="60C94BD3"/>
    <w:rsid w:val="60CF38D6"/>
    <w:rsid w:val="60DF0DF4"/>
    <w:rsid w:val="60E802AD"/>
    <w:rsid w:val="60F105CC"/>
    <w:rsid w:val="610D2D57"/>
    <w:rsid w:val="611953E2"/>
    <w:rsid w:val="611F485D"/>
    <w:rsid w:val="612B1454"/>
    <w:rsid w:val="613C540F"/>
    <w:rsid w:val="6148076C"/>
    <w:rsid w:val="614A0A46"/>
    <w:rsid w:val="6158225B"/>
    <w:rsid w:val="61586623"/>
    <w:rsid w:val="615C33BC"/>
    <w:rsid w:val="617821BF"/>
    <w:rsid w:val="61840B64"/>
    <w:rsid w:val="6189657A"/>
    <w:rsid w:val="618D748C"/>
    <w:rsid w:val="61A67C66"/>
    <w:rsid w:val="61AD4239"/>
    <w:rsid w:val="61B431F8"/>
    <w:rsid w:val="61B825BC"/>
    <w:rsid w:val="61C3168D"/>
    <w:rsid w:val="61C50728"/>
    <w:rsid w:val="61CB270F"/>
    <w:rsid w:val="61CC0853"/>
    <w:rsid w:val="61CC4742"/>
    <w:rsid w:val="61CF0198"/>
    <w:rsid w:val="61E12FCC"/>
    <w:rsid w:val="61EB0BE3"/>
    <w:rsid w:val="61F10C8E"/>
    <w:rsid w:val="61F451F0"/>
    <w:rsid w:val="61F56D34"/>
    <w:rsid w:val="61F83385"/>
    <w:rsid w:val="61FC4B9F"/>
    <w:rsid w:val="621C1EA2"/>
    <w:rsid w:val="621D02BE"/>
    <w:rsid w:val="622A5268"/>
    <w:rsid w:val="622E3D73"/>
    <w:rsid w:val="62312A9A"/>
    <w:rsid w:val="623D2000"/>
    <w:rsid w:val="62402CDD"/>
    <w:rsid w:val="624125B1"/>
    <w:rsid w:val="624C20D5"/>
    <w:rsid w:val="625247BE"/>
    <w:rsid w:val="6253389D"/>
    <w:rsid w:val="6267026A"/>
    <w:rsid w:val="627028D7"/>
    <w:rsid w:val="62775F41"/>
    <w:rsid w:val="628157AD"/>
    <w:rsid w:val="628420FD"/>
    <w:rsid w:val="628F57A0"/>
    <w:rsid w:val="629B5694"/>
    <w:rsid w:val="62A0143E"/>
    <w:rsid w:val="62A816AD"/>
    <w:rsid w:val="62AC034C"/>
    <w:rsid w:val="62B22CAF"/>
    <w:rsid w:val="62BB4835"/>
    <w:rsid w:val="62D17DD9"/>
    <w:rsid w:val="62F55A50"/>
    <w:rsid w:val="62FA10DE"/>
    <w:rsid w:val="62FF616B"/>
    <w:rsid w:val="63015687"/>
    <w:rsid w:val="630A1AD1"/>
    <w:rsid w:val="630E101B"/>
    <w:rsid w:val="63271CE4"/>
    <w:rsid w:val="632814BB"/>
    <w:rsid w:val="632A1403"/>
    <w:rsid w:val="633345F0"/>
    <w:rsid w:val="63355526"/>
    <w:rsid w:val="633D0FCB"/>
    <w:rsid w:val="63416D0D"/>
    <w:rsid w:val="63452CAD"/>
    <w:rsid w:val="634A36E8"/>
    <w:rsid w:val="63534243"/>
    <w:rsid w:val="635B4B4A"/>
    <w:rsid w:val="63666512"/>
    <w:rsid w:val="63682B52"/>
    <w:rsid w:val="636D2866"/>
    <w:rsid w:val="637523FE"/>
    <w:rsid w:val="637A221F"/>
    <w:rsid w:val="637C7D45"/>
    <w:rsid w:val="638C1CFD"/>
    <w:rsid w:val="638C5AAE"/>
    <w:rsid w:val="638D634E"/>
    <w:rsid w:val="639257BA"/>
    <w:rsid w:val="63930ECD"/>
    <w:rsid w:val="63980CD8"/>
    <w:rsid w:val="63A3572C"/>
    <w:rsid w:val="63AD6150"/>
    <w:rsid w:val="63B726D8"/>
    <w:rsid w:val="63C2595E"/>
    <w:rsid w:val="63CE4302"/>
    <w:rsid w:val="63CF6AC6"/>
    <w:rsid w:val="63D25D45"/>
    <w:rsid w:val="63D731CD"/>
    <w:rsid w:val="63DA196E"/>
    <w:rsid w:val="63DC60A6"/>
    <w:rsid w:val="63DD193B"/>
    <w:rsid w:val="63E2759B"/>
    <w:rsid w:val="63EB59CE"/>
    <w:rsid w:val="63FA6EBC"/>
    <w:rsid w:val="64080351"/>
    <w:rsid w:val="6416019A"/>
    <w:rsid w:val="641A7AF6"/>
    <w:rsid w:val="6423746E"/>
    <w:rsid w:val="64287ECD"/>
    <w:rsid w:val="643F73D6"/>
    <w:rsid w:val="64410F8F"/>
    <w:rsid w:val="64524F4A"/>
    <w:rsid w:val="64630F05"/>
    <w:rsid w:val="648140C7"/>
    <w:rsid w:val="64826153"/>
    <w:rsid w:val="648336D6"/>
    <w:rsid w:val="64A729C8"/>
    <w:rsid w:val="64A86918"/>
    <w:rsid w:val="64AA0DE0"/>
    <w:rsid w:val="64BD6867"/>
    <w:rsid w:val="64BF7142"/>
    <w:rsid w:val="64CE081B"/>
    <w:rsid w:val="64DF30DB"/>
    <w:rsid w:val="64E77440"/>
    <w:rsid w:val="64F75F44"/>
    <w:rsid w:val="64FE478A"/>
    <w:rsid w:val="65057D75"/>
    <w:rsid w:val="65067C94"/>
    <w:rsid w:val="650B2141"/>
    <w:rsid w:val="650D42F8"/>
    <w:rsid w:val="650F2D91"/>
    <w:rsid w:val="653D5467"/>
    <w:rsid w:val="6542550C"/>
    <w:rsid w:val="654472A9"/>
    <w:rsid w:val="654900FB"/>
    <w:rsid w:val="654F1639"/>
    <w:rsid w:val="65515201"/>
    <w:rsid w:val="655166F1"/>
    <w:rsid w:val="65554CF2"/>
    <w:rsid w:val="655A22EC"/>
    <w:rsid w:val="655B1BDC"/>
    <w:rsid w:val="655C6080"/>
    <w:rsid w:val="656C0AD8"/>
    <w:rsid w:val="656C524C"/>
    <w:rsid w:val="65801B6B"/>
    <w:rsid w:val="65817895"/>
    <w:rsid w:val="6582701C"/>
    <w:rsid w:val="658663D8"/>
    <w:rsid w:val="6594541E"/>
    <w:rsid w:val="65DA51F7"/>
    <w:rsid w:val="65E53A72"/>
    <w:rsid w:val="66056532"/>
    <w:rsid w:val="661B4993"/>
    <w:rsid w:val="663761A5"/>
    <w:rsid w:val="66387E83"/>
    <w:rsid w:val="66456953"/>
    <w:rsid w:val="665C20B0"/>
    <w:rsid w:val="665D2CEF"/>
    <w:rsid w:val="66763171"/>
    <w:rsid w:val="668D0EFC"/>
    <w:rsid w:val="668F7C29"/>
    <w:rsid w:val="66997C97"/>
    <w:rsid w:val="669B2BD8"/>
    <w:rsid w:val="66A87785"/>
    <w:rsid w:val="66A908F3"/>
    <w:rsid w:val="66AD6206"/>
    <w:rsid w:val="66AE3294"/>
    <w:rsid w:val="66C017E0"/>
    <w:rsid w:val="66CA3897"/>
    <w:rsid w:val="66CB01F2"/>
    <w:rsid w:val="66CE633F"/>
    <w:rsid w:val="66D93700"/>
    <w:rsid w:val="66DB7082"/>
    <w:rsid w:val="66E77BCB"/>
    <w:rsid w:val="66F64DF0"/>
    <w:rsid w:val="66F76CAA"/>
    <w:rsid w:val="66F9345B"/>
    <w:rsid w:val="66FC33DC"/>
    <w:rsid w:val="66FE3838"/>
    <w:rsid w:val="67002A3B"/>
    <w:rsid w:val="671273F1"/>
    <w:rsid w:val="671958AB"/>
    <w:rsid w:val="67267D55"/>
    <w:rsid w:val="67386806"/>
    <w:rsid w:val="67581256"/>
    <w:rsid w:val="67582691"/>
    <w:rsid w:val="675A5CEE"/>
    <w:rsid w:val="675A65EF"/>
    <w:rsid w:val="67640482"/>
    <w:rsid w:val="676C1E7F"/>
    <w:rsid w:val="67752BC2"/>
    <w:rsid w:val="677D22DE"/>
    <w:rsid w:val="67872D93"/>
    <w:rsid w:val="678E0047"/>
    <w:rsid w:val="67A77952"/>
    <w:rsid w:val="67AE2497"/>
    <w:rsid w:val="67B35CFF"/>
    <w:rsid w:val="67CE4220"/>
    <w:rsid w:val="67CF1743"/>
    <w:rsid w:val="67D76347"/>
    <w:rsid w:val="67D872EE"/>
    <w:rsid w:val="67DA13D0"/>
    <w:rsid w:val="67FD722D"/>
    <w:rsid w:val="680B51D4"/>
    <w:rsid w:val="68152516"/>
    <w:rsid w:val="681C5653"/>
    <w:rsid w:val="6828189F"/>
    <w:rsid w:val="682E35DE"/>
    <w:rsid w:val="68376A9E"/>
    <w:rsid w:val="68543BAD"/>
    <w:rsid w:val="68575047"/>
    <w:rsid w:val="68615620"/>
    <w:rsid w:val="68692862"/>
    <w:rsid w:val="68727B54"/>
    <w:rsid w:val="687339AE"/>
    <w:rsid w:val="68751AA8"/>
    <w:rsid w:val="687B5194"/>
    <w:rsid w:val="68892749"/>
    <w:rsid w:val="68945DBE"/>
    <w:rsid w:val="689773CF"/>
    <w:rsid w:val="68A13DAA"/>
    <w:rsid w:val="68B51BCC"/>
    <w:rsid w:val="68B80D4E"/>
    <w:rsid w:val="68C112B0"/>
    <w:rsid w:val="68CB020A"/>
    <w:rsid w:val="68CD3527"/>
    <w:rsid w:val="68CD4B9F"/>
    <w:rsid w:val="68E1064A"/>
    <w:rsid w:val="6905258B"/>
    <w:rsid w:val="690802CD"/>
    <w:rsid w:val="691237F8"/>
    <w:rsid w:val="691E364C"/>
    <w:rsid w:val="692B7A2F"/>
    <w:rsid w:val="69305684"/>
    <w:rsid w:val="693B3F25"/>
    <w:rsid w:val="693C19E0"/>
    <w:rsid w:val="69486D80"/>
    <w:rsid w:val="695232F6"/>
    <w:rsid w:val="69556CED"/>
    <w:rsid w:val="697D0373"/>
    <w:rsid w:val="69981651"/>
    <w:rsid w:val="699A6627"/>
    <w:rsid w:val="699B1708"/>
    <w:rsid w:val="699F7EDE"/>
    <w:rsid w:val="69A62455"/>
    <w:rsid w:val="69B53FB1"/>
    <w:rsid w:val="69B83B91"/>
    <w:rsid w:val="69C3461A"/>
    <w:rsid w:val="69E228CC"/>
    <w:rsid w:val="69E4727C"/>
    <w:rsid w:val="6A082C02"/>
    <w:rsid w:val="6A0942FC"/>
    <w:rsid w:val="6A1A0F4D"/>
    <w:rsid w:val="6A276C6B"/>
    <w:rsid w:val="6A484143"/>
    <w:rsid w:val="6A4B0471"/>
    <w:rsid w:val="6A4B0DB5"/>
    <w:rsid w:val="6A4E7F61"/>
    <w:rsid w:val="6A7079AD"/>
    <w:rsid w:val="6A793230"/>
    <w:rsid w:val="6A793EE8"/>
    <w:rsid w:val="6A7C16D5"/>
    <w:rsid w:val="6A855B75"/>
    <w:rsid w:val="6A8C617D"/>
    <w:rsid w:val="6A9E4436"/>
    <w:rsid w:val="6AA669D2"/>
    <w:rsid w:val="6AAD1E2D"/>
    <w:rsid w:val="6ABA41E7"/>
    <w:rsid w:val="6ABC136F"/>
    <w:rsid w:val="6AC14AD6"/>
    <w:rsid w:val="6AC46A83"/>
    <w:rsid w:val="6AD514D1"/>
    <w:rsid w:val="6AD86217"/>
    <w:rsid w:val="6ADE12E5"/>
    <w:rsid w:val="6ADF1CD8"/>
    <w:rsid w:val="6AE508C6"/>
    <w:rsid w:val="6AE80457"/>
    <w:rsid w:val="6AED2E5C"/>
    <w:rsid w:val="6AED777A"/>
    <w:rsid w:val="6AEF72F0"/>
    <w:rsid w:val="6AFB6737"/>
    <w:rsid w:val="6AFC176B"/>
    <w:rsid w:val="6B005FFB"/>
    <w:rsid w:val="6B0D2453"/>
    <w:rsid w:val="6B0F5943"/>
    <w:rsid w:val="6B253138"/>
    <w:rsid w:val="6B2D4D42"/>
    <w:rsid w:val="6B361121"/>
    <w:rsid w:val="6B3D2B7D"/>
    <w:rsid w:val="6B3D5CD6"/>
    <w:rsid w:val="6B546244"/>
    <w:rsid w:val="6B5D66AE"/>
    <w:rsid w:val="6B8521DE"/>
    <w:rsid w:val="6B950059"/>
    <w:rsid w:val="6B9A16B0"/>
    <w:rsid w:val="6BA137B8"/>
    <w:rsid w:val="6BA73DCD"/>
    <w:rsid w:val="6BB60027"/>
    <w:rsid w:val="6C001C7A"/>
    <w:rsid w:val="6C006BC9"/>
    <w:rsid w:val="6C0156F5"/>
    <w:rsid w:val="6C150A76"/>
    <w:rsid w:val="6C156F89"/>
    <w:rsid w:val="6C166E50"/>
    <w:rsid w:val="6C2859A5"/>
    <w:rsid w:val="6C2B18E0"/>
    <w:rsid w:val="6C3C3E3E"/>
    <w:rsid w:val="6C47110C"/>
    <w:rsid w:val="6C5154DB"/>
    <w:rsid w:val="6C5C6966"/>
    <w:rsid w:val="6C5F2693"/>
    <w:rsid w:val="6C5F6456"/>
    <w:rsid w:val="6C700663"/>
    <w:rsid w:val="6C706A4E"/>
    <w:rsid w:val="6C91491F"/>
    <w:rsid w:val="6C97174C"/>
    <w:rsid w:val="6C9A56E0"/>
    <w:rsid w:val="6C9C3206"/>
    <w:rsid w:val="6CA81BAB"/>
    <w:rsid w:val="6CA83959"/>
    <w:rsid w:val="6CB93B49"/>
    <w:rsid w:val="6CBB2E90"/>
    <w:rsid w:val="6CBC11B2"/>
    <w:rsid w:val="6CC006AA"/>
    <w:rsid w:val="6CC12C6C"/>
    <w:rsid w:val="6CCB42A7"/>
    <w:rsid w:val="6CD209D6"/>
    <w:rsid w:val="6CE16E6B"/>
    <w:rsid w:val="6CED7F50"/>
    <w:rsid w:val="6CF034F3"/>
    <w:rsid w:val="6D075EA7"/>
    <w:rsid w:val="6D0C407A"/>
    <w:rsid w:val="6D0C5C01"/>
    <w:rsid w:val="6D172D72"/>
    <w:rsid w:val="6D1A325C"/>
    <w:rsid w:val="6D23203E"/>
    <w:rsid w:val="6D237483"/>
    <w:rsid w:val="6D297A90"/>
    <w:rsid w:val="6D2A67B6"/>
    <w:rsid w:val="6D3038CE"/>
    <w:rsid w:val="6D3A379D"/>
    <w:rsid w:val="6D3E62D3"/>
    <w:rsid w:val="6D487633"/>
    <w:rsid w:val="6D4C4C2C"/>
    <w:rsid w:val="6D5C5EC4"/>
    <w:rsid w:val="6D5E00B6"/>
    <w:rsid w:val="6D620248"/>
    <w:rsid w:val="6D6A6EB0"/>
    <w:rsid w:val="6D6C14C6"/>
    <w:rsid w:val="6D716441"/>
    <w:rsid w:val="6D943EDD"/>
    <w:rsid w:val="6D976CFA"/>
    <w:rsid w:val="6DA15B6B"/>
    <w:rsid w:val="6DA34120"/>
    <w:rsid w:val="6DB44E34"/>
    <w:rsid w:val="6DC30E4C"/>
    <w:rsid w:val="6DC66903"/>
    <w:rsid w:val="6DC871AD"/>
    <w:rsid w:val="6DCC6C7E"/>
    <w:rsid w:val="6DCE6A4D"/>
    <w:rsid w:val="6DE94229"/>
    <w:rsid w:val="6E001D9C"/>
    <w:rsid w:val="6E005A16"/>
    <w:rsid w:val="6E036618"/>
    <w:rsid w:val="6E076DA5"/>
    <w:rsid w:val="6E2C080D"/>
    <w:rsid w:val="6E2E70AB"/>
    <w:rsid w:val="6E4C2D82"/>
    <w:rsid w:val="6E4F6056"/>
    <w:rsid w:val="6E763D92"/>
    <w:rsid w:val="6E9303AE"/>
    <w:rsid w:val="6E9A6BF4"/>
    <w:rsid w:val="6EA14B04"/>
    <w:rsid w:val="6EA2593E"/>
    <w:rsid w:val="6EAF1273"/>
    <w:rsid w:val="6EBF3CF9"/>
    <w:rsid w:val="6EC60A76"/>
    <w:rsid w:val="6ED32F8D"/>
    <w:rsid w:val="6EDF387E"/>
    <w:rsid w:val="6EE113A4"/>
    <w:rsid w:val="6EEC5E7B"/>
    <w:rsid w:val="6EFE2D27"/>
    <w:rsid w:val="6F094457"/>
    <w:rsid w:val="6F0C24C0"/>
    <w:rsid w:val="6F0E7CBF"/>
    <w:rsid w:val="6F1179CF"/>
    <w:rsid w:val="6F13110F"/>
    <w:rsid w:val="6F227790"/>
    <w:rsid w:val="6F275392"/>
    <w:rsid w:val="6F2C5B33"/>
    <w:rsid w:val="6F2F42BA"/>
    <w:rsid w:val="6F3526EE"/>
    <w:rsid w:val="6F3A671E"/>
    <w:rsid w:val="6F436343"/>
    <w:rsid w:val="6F466928"/>
    <w:rsid w:val="6F4F3F62"/>
    <w:rsid w:val="6F502086"/>
    <w:rsid w:val="6F524091"/>
    <w:rsid w:val="6F525DFE"/>
    <w:rsid w:val="6F683679"/>
    <w:rsid w:val="6F733F82"/>
    <w:rsid w:val="6F8E1624"/>
    <w:rsid w:val="6F975F07"/>
    <w:rsid w:val="6FA111FB"/>
    <w:rsid w:val="6FA82FFF"/>
    <w:rsid w:val="6FAA5C3A"/>
    <w:rsid w:val="6FAF160D"/>
    <w:rsid w:val="6FC62348"/>
    <w:rsid w:val="6FD809F9"/>
    <w:rsid w:val="6FE562D9"/>
    <w:rsid w:val="6FE61B3E"/>
    <w:rsid w:val="6FE734D5"/>
    <w:rsid w:val="70076B11"/>
    <w:rsid w:val="700E61C9"/>
    <w:rsid w:val="700F0193"/>
    <w:rsid w:val="701451B5"/>
    <w:rsid w:val="701D465E"/>
    <w:rsid w:val="70210C11"/>
    <w:rsid w:val="70227EC6"/>
    <w:rsid w:val="7027728A"/>
    <w:rsid w:val="702C2329"/>
    <w:rsid w:val="70482A75"/>
    <w:rsid w:val="704A2F79"/>
    <w:rsid w:val="70546BE3"/>
    <w:rsid w:val="70587EA5"/>
    <w:rsid w:val="70625923"/>
    <w:rsid w:val="706948DC"/>
    <w:rsid w:val="70722A8E"/>
    <w:rsid w:val="70AE3B18"/>
    <w:rsid w:val="70C03EA2"/>
    <w:rsid w:val="70C5552E"/>
    <w:rsid w:val="70C74293"/>
    <w:rsid w:val="70CA3E8B"/>
    <w:rsid w:val="70D82B76"/>
    <w:rsid w:val="70DC42B9"/>
    <w:rsid w:val="70ED4030"/>
    <w:rsid w:val="70EE1B56"/>
    <w:rsid w:val="70F765B7"/>
    <w:rsid w:val="711A795C"/>
    <w:rsid w:val="711E38F9"/>
    <w:rsid w:val="711F61B4"/>
    <w:rsid w:val="71252799"/>
    <w:rsid w:val="7125513B"/>
    <w:rsid w:val="71365667"/>
    <w:rsid w:val="713C5B93"/>
    <w:rsid w:val="71401D00"/>
    <w:rsid w:val="714300F4"/>
    <w:rsid w:val="71551BD5"/>
    <w:rsid w:val="715E0D9E"/>
    <w:rsid w:val="715E1726"/>
    <w:rsid w:val="715F0E52"/>
    <w:rsid w:val="7167747F"/>
    <w:rsid w:val="716F2C97"/>
    <w:rsid w:val="71744751"/>
    <w:rsid w:val="717E4AA0"/>
    <w:rsid w:val="71823AB3"/>
    <w:rsid w:val="7185070D"/>
    <w:rsid w:val="718B6479"/>
    <w:rsid w:val="71963E7B"/>
    <w:rsid w:val="71B47210"/>
    <w:rsid w:val="71D84CE0"/>
    <w:rsid w:val="71DB5992"/>
    <w:rsid w:val="71DD1E72"/>
    <w:rsid w:val="71E13469"/>
    <w:rsid w:val="71FD4747"/>
    <w:rsid w:val="72077373"/>
    <w:rsid w:val="72086C48"/>
    <w:rsid w:val="721D0F4D"/>
    <w:rsid w:val="72345C8F"/>
    <w:rsid w:val="72373739"/>
    <w:rsid w:val="723E2669"/>
    <w:rsid w:val="7249798C"/>
    <w:rsid w:val="726C71D7"/>
    <w:rsid w:val="72775C9B"/>
    <w:rsid w:val="727C5654"/>
    <w:rsid w:val="728564EA"/>
    <w:rsid w:val="729F135A"/>
    <w:rsid w:val="729F7935"/>
    <w:rsid w:val="72BD3075"/>
    <w:rsid w:val="72C8637D"/>
    <w:rsid w:val="72CC7222"/>
    <w:rsid w:val="72DC1889"/>
    <w:rsid w:val="72EC6569"/>
    <w:rsid w:val="72F064A5"/>
    <w:rsid w:val="72F27D76"/>
    <w:rsid w:val="72F40FFF"/>
    <w:rsid w:val="73016589"/>
    <w:rsid w:val="730D09BA"/>
    <w:rsid w:val="730D6C0C"/>
    <w:rsid w:val="73117B6F"/>
    <w:rsid w:val="73182812"/>
    <w:rsid w:val="73214465"/>
    <w:rsid w:val="733F0D8F"/>
    <w:rsid w:val="73403348"/>
    <w:rsid w:val="73441F01"/>
    <w:rsid w:val="7346211D"/>
    <w:rsid w:val="734819F2"/>
    <w:rsid w:val="73504D4A"/>
    <w:rsid w:val="7361763F"/>
    <w:rsid w:val="73774085"/>
    <w:rsid w:val="737A0F7D"/>
    <w:rsid w:val="737F2949"/>
    <w:rsid w:val="73886292"/>
    <w:rsid w:val="73894370"/>
    <w:rsid w:val="73A1348B"/>
    <w:rsid w:val="73A27D41"/>
    <w:rsid w:val="73B3475C"/>
    <w:rsid w:val="73B844BF"/>
    <w:rsid w:val="73B963DE"/>
    <w:rsid w:val="73BF2B15"/>
    <w:rsid w:val="73CA4401"/>
    <w:rsid w:val="73D8527F"/>
    <w:rsid w:val="73DA625C"/>
    <w:rsid w:val="73DE7BD9"/>
    <w:rsid w:val="73E275E4"/>
    <w:rsid w:val="73E435F8"/>
    <w:rsid w:val="73EA4857"/>
    <w:rsid w:val="73EF00BF"/>
    <w:rsid w:val="73F5341C"/>
    <w:rsid w:val="73F82333"/>
    <w:rsid w:val="74055B35"/>
    <w:rsid w:val="740578E3"/>
    <w:rsid w:val="74207E57"/>
    <w:rsid w:val="742B746E"/>
    <w:rsid w:val="742E23F7"/>
    <w:rsid w:val="742F3AED"/>
    <w:rsid w:val="743775DE"/>
    <w:rsid w:val="74394E24"/>
    <w:rsid w:val="744406A6"/>
    <w:rsid w:val="744966C1"/>
    <w:rsid w:val="746E5487"/>
    <w:rsid w:val="7471629D"/>
    <w:rsid w:val="747D56CB"/>
    <w:rsid w:val="74916111"/>
    <w:rsid w:val="74A27EA0"/>
    <w:rsid w:val="74A964C0"/>
    <w:rsid w:val="74AC62F7"/>
    <w:rsid w:val="74CA4688"/>
    <w:rsid w:val="74D379E1"/>
    <w:rsid w:val="750477ED"/>
    <w:rsid w:val="751F064C"/>
    <w:rsid w:val="7524023C"/>
    <w:rsid w:val="75263517"/>
    <w:rsid w:val="752B1BEA"/>
    <w:rsid w:val="753346AF"/>
    <w:rsid w:val="75422471"/>
    <w:rsid w:val="754D2617"/>
    <w:rsid w:val="75502703"/>
    <w:rsid w:val="75521F95"/>
    <w:rsid w:val="75640639"/>
    <w:rsid w:val="75695A74"/>
    <w:rsid w:val="75790588"/>
    <w:rsid w:val="757B6DFF"/>
    <w:rsid w:val="757D16FB"/>
    <w:rsid w:val="758A3D6D"/>
    <w:rsid w:val="759727BC"/>
    <w:rsid w:val="759B21E6"/>
    <w:rsid w:val="75C17839"/>
    <w:rsid w:val="75C4732A"/>
    <w:rsid w:val="75CE1F56"/>
    <w:rsid w:val="75D05CCE"/>
    <w:rsid w:val="75DF5F11"/>
    <w:rsid w:val="75E41419"/>
    <w:rsid w:val="75E52236"/>
    <w:rsid w:val="75F12802"/>
    <w:rsid w:val="76025015"/>
    <w:rsid w:val="76051E1C"/>
    <w:rsid w:val="760A5684"/>
    <w:rsid w:val="762B2479"/>
    <w:rsid w:val="764010A6"/>
    <w:rsid w:val="764364A0"/>
    <w:rsid w:val="76456E20"/>
    <w:rsid w:val="76515061"/>
    <w:rsid w:val="765A0431"/>
    <w:rsid w:val="765C0662"/>
    <w:rsid w:val="76621CA0"/>
    <w:rsid w:val="766F0A02"/>
    <w:rsid w:val="76767E7A"/>
    <w:rsid w:val="767A2FEB"/>
    <w:rsid w:val="768105A9"/>
    <w:rsid w:val="769E144C"/>
    <w:rsid w:val="76AC0E3E"/>
    <w:rsid w:val="76B455F0"/>
    <w:rsid w:val="76B72878"/>
    <w:rsid w:val="76BC6C5E"/>
    <w:rsid w:val="76C21CFD"/>
    <w:rsid w:val="76C27D0D"/>
    <w:rsid w:val="76CA6BC2"/>
    <w:rsid w:val="76DA32A9"/>
    <w:rsid w:val="76DC5C43"/>
    <w:rsid w:val="76E5399E"/>
    <w:rsid w:val="76F105F2"/>
    <w:rsid w:val="76FF3B43"/>
    <w:rsid w:val="77071BC4"/>
    <w:rsid w:val="77114D2E"/>
    <w:rsid w:val="77126291"/>
    <w:rsid w:val="771542E1"/>
    <w:rsid w:val="771F0CBB"/>
    <w:rsid w:val="7722559D"/>
    <w:rsid w:val="77334767"/>
    <w:rsid w:val="773D70ED"/>
    <w:rsid w:val="774951A6"/>
    <w:rsid w:val="774A385E"/>
    <w:rsid w:val="77505319"/>
    <w:rsid w:val="7755292F"/>
    <w:rsid w:val="775A6197"/>
    <w:rsid w:val="775E7B44"/>
    <w:rsid w:val="77601F36"/>
    <w:rsid w:val="776D5ECB"/>
    <w:rsid w:val="77724B70"/>
    <w:rsid w:val="777D690E"/>
    <w:rsid w:val="777F5BFE"/>
    <w:rsid w:val="777F687B"/>
    <w:rsid w:val="77844C83"/>
    <w:rsid w:val="77857D7A"/>
    <w:rsid w:val="778A063F"/>
    <w:rsid w:val="778C3A25"/>
    <w:rsid w:val="778E63DA"/>
    <w:rsid w:val="779704A5"/>
    <w:rsid w:val="77980A6E"/>
    <w:rsid w:val="77986372"/>
    <w:rsid w:val="779A5AD5"/>
    <w:rsid w:val="779A777D"/>
    <w:rsid w:val="779F4971"/>
    <w:rsid w:val="77B800BF"/>
    <w:rsid w:val="77D52FEF"/>
    <w:rsid w:val="77DE46D3"/>
    <w:rsid w:val="77F20AE8"/>
    <w:rsid w:val="77F57C6E"/>
    <w:rsid w:val="780305DD"/>
    <w:rsid w:val="780E7603"/>
    <w:rsid w:val="78195167"/>
    <w:rsid w:val="781A4F20"/>
    <w:rsid w:val="781F6A99"/>
    <w:rsid w:val="782F4F2E"/>
    <w:rsid w:val="78397B5B"/>
    <w:rsid w:val="783E63F5"/>
    <w:rsid w:val="784309DA"/>
    <w:rsid w:val="784E38FA"/>
    <w:rsid w:val="7855376A"/>
    <w:rsid w:val="78586BEF"/>
    <w:rsid w:val="785C7CED"/>
    <w:rsid w:val="785F1ADA"/>
    <w:rsid w:val="7868049F"/>
    <w:rsid w:val="78797D0E"/>
    <w:rsid w:val="787C0A27"/>
    <w:rsid w:val="787E5EB6"/>
    <w:rsid w:val="787F2D27"/>
    <w:rsid w:val="78812D80"/>
    <w:rsid w:val="78945A94"/>
    <w:rsid w:val="78B10039"/>
    <w:rsid w:val="78BD4A1B"/>
    <w:rsid w:val="78C50458"/>
    <w:rsid w:val="78CA0004"/>
    <w:rsid w:val="78CE68C6"/>
    <w:rsid w:val="78D45AD6"/>
    <w:rsid w:val="78F77D67"/>
    <w:rsid w:val="790740FD"/>
    <w:rsid w:val="7908577F"/>
    <w:rsid w:val="791800B8"/>
    <w:rsid w:val="791F2EFC"/>
    <w:rsid w:val="79202AC9"/>
    <w:rsid w:val="792D66BF"/>
    <w:rsid w:val="793047C6"/>
    <w:rsid w:val="793C7BA5"/>
    <w:rsid w:val="79420A9C"/>
    <w:rsid w:val="794D4A43"/>
    <w:rsid w:val="795B796C"/>
    <w:rsid w:val="795D481B"/>
    <w:rsid w:val="797829DB"/>
    <w:rsid w:val="79930A94"/>
    <w:rsid w:val="799314ED"/>
    <w:rsid w:val="79973DE6"/>
    <w:rsid w:val="79975481"/>
    <w:rsid w:val="799A649F"/>
    <w:rsid w:val="79AF1DB9"/>
    <w:rsid w:val="79B21413"/>
    <w:rsid w:val="79C76AF4"/>
    <w:rsid w:val="79D2737D"/>
    <w:rsid w:val="79D7587D"/>
    <w:rsid w:val="79DE0146"/>
    <w:rsid w:val="79E42D5C"/>
    <w:rsid w:val="79E52692"/>
    <w:rsid w:val="79F24989"/>
    <w:rsid w:val="79F264B1"/>
    <w:rsid w:val="7A002CC7"/>
    <w:rsid w:val="7A056BAC"/>
    <w:rsid w:val="7A122D59"/>
    <w:rsid w:val="7A237A86"/>
    <w:rsid w:val="7A3C7768"/>
    <w:rsid w:val="7A490940"/>
    <w:rsid w:val="7A540C7C"/>
    <w:rsid w:val="7A54713E"/>
    <w:rsid w:val="7A5769BE"/>
    <w:rsid w:val="7A5A2FBF"/>
    <w:rsid w:val="7A637111"/>
    <w:rsid w:val="7A6F519C"/>
    <w:rsid w:val="7A7E219D"/>
    <w:rsid w:val="7A8A28F2"/>
    <w:rsid w:val="7A9250E5"/>
    <w:rsid w:val="7A94376E"/>
    <w:rsid w:val="7AA53108"/>
    <w:rsid w:val="7AA84407"/>
    <w:rsid w:val="7AB20338"/>
    <w:rsid w:val="7AC42001"/>
    <w:rsid w:val="7AC8166A"/>
    <w:rsid w:val="7AD16771"/>
    <w:rsid w:val="7AD377F2"/>
    <w:rsid w:val="7AD7386C"/>
    <w:rsid w:val="7AE07C8F"/>
    <w:rsid w:val="7AE22AB9"/>
    <w:rsid w:val="7AEC256E"/>
    <w:rsid w:val="7AF320F4"/>
    <w:rsid w:val="7AF34E7D"/>
    <w:rsid w:val="7AFE6E3A"/>
    <w:rsid w:val="7B085D4C"/>
    <w:rsid w:val="7B0D6AEC"/>
    <w:rsid w:val="7B1E4484"/>
    <w:rsid w:val="7B326A62"/>
    <w:rsid w:val="7B3B184D"/>
    <w:rsid w:val="7B4A02D1"/>
    <w:rsid w:val="7B595B94"/>
    <w:rsid w:val="7B670E83"/>
    <w:rsid w:val="7B7100AC"/>
    <w:rsid w:val="7B73597D"/>
    <w:rsid w:val="7B85422E"/>
    <w:rsid w:val="7B8732D3"/>
    <w:rsid w:val="7B8D2AA1"/>
    <w:rsid w:val="7B915F00"/>
    <w:rsid w:val="7BA62741"/>
    <w:rsid w:val="7BB878AA"/>
    <w:rsid w:val="7BB951A2"/>
    <w:rsid w:val="7BBD25EF"/>
    <w:rsid w:val="7BCE0F02"/>
    <w:rsid w:val="7BCF72F5"/>
    <w:rsid w:val="7BE04CFB"/>
    <w:rsid w:val="7BE6624C"/>
    <w:rsid w:val="7BF246D7"/>
    <w:rsid w:val="7C067980"/>
    <w:rsid w:val="7C0B180E"/>
    <w:rsid w:val="7C0E1C31"/>
    <w:rsid w:val="7C2B0AA5"/>
    <w:rsid w:val="7C305719"/>
    <w:rsid w:val="7C324FED"/>
    <w:rsid w:val="7C484810"/>
    <w:rsid w:val="7C4C2909"/>
    <w:rsid w:val="7C4F56AB"/>
    <w:rsid w:val="7C5143D4"/>
    <w:rsid w:val="7C5274A3"/>
    <w:rsid w:val="7C583CE3"/>
    <w:rsid w:val="7C585A8B"/>
    <w:rsid w:val="7C5C02BC"/>
    <w:rsid w:val="7C6043DA"/>
    <w:rsid w:val="7C6F4493"/>
    <w:rsid w:val="7C755A14"/>
    <w:rsid w:val="7C784688"/>
    <w:rsid w:val="7C7F2361"/>
    <w:rsid w:val="7C994BEB"/>
    <w:rsid w:val="7CA61D5B"/>
    <w:rsid w:val="7CA941A6"/>
    <w:rsid w:val="7CAA7322"/>
    <w:rsid w:val="7CAC1243"/>
    <w:rsid w:val="7CAC7BAE"/>
    <w:rsid w:val="7CB91A63"/>
    <w:rsid w:val="7CD25813"/>
    <w:rsid w:val="7CD71A58"/>
    <w:rsid w:val="7CDE29FF"/>
    <w:rsid w:val="7CE92B5A"/>
    <w:rsid w:val="7CF37291"/>
    <w:rsid w:val="7CF446AE"/>
    <w:rsid w:val="7CF624BE"/>
    <w:rsid w:val="7CFF679E"/>
    <w:rsid w:val="7D056BA5"/>
    <w:rsid w:val="7D170ECC"/>
    <w:rsid w:val="7D225061"/>
    <w:rsid w:val="7D2D5FC5"/>
    <w:rsid w:val="7D3905FD"/>
    <w:rsid w:val="7D440266"/>
    <w:rsid w:val="7D463E48"/>
    <w:rsid w:val="7D4E6AA0"/>
    <w:rsid w:val="7D7227AB"/>
    <w:rsid w:val="7D722DC6"/>
    <w:rsid w:val="7D725872"/>
    <w:rsid w:val="7D7521DA"/>
    <w:rsid w:val="7D807FDA"/>
    <w:rsid w:val="7D853842"/>
    <w:rsid w:val="7D8A7022"/>
    <w:rsid w:val="7D8E1C82"/>
    <w:rsid w:val="7D9615AC"/>
    <w:rsid w:val="7DA168CE"/>
    <w:rsid w:val="7DA40453"/>
    <w:rsid w:val="7DA729A8"/>
    <w:rsid w:val="7DAE3769"/>
    <w:rsid w:val="7DB06B11"/>
    <w:rsid w:val="7DB87774"/>
    <w:rsid w:val="7DBB7264"/>
    <w:rsid w:val="7DC0487A"/>
    <w:rsid w:val="7DDB16B4"/>
    <w:rsid w:val="7DDC1631"/>
    <w:rsid w:val="7DE26BE4"/>
    <w:rsid w:val="7DE82DDE"/>
    <w:rsid w:val="7DF64FC1"/>
    <w:rsid w:val="7E0C7A4E"/>
    <w:rsid w:val="7E1E31E3"/>
    <w:rsid w:val="7E1F60DA"/>
    <w:rsid w:val="7E2E7A36"/>
    <w:rsid w:val="7E342C81"/>
    <w:rsid w:val="7E492AC2"/>
    <w:rsid w:val="7E4B4A8C"/>
    <w:rsid w:val="7E4E67B1"/>
    <w:rsid w:val="7E503CD6"/>
    <w:rsid w:val="7E5177C4"/>
    <w:rsid w:val="7E537307"/>
    <w:rsid w:val="7E595D31"/>
    <w:rsid w:val="7E727695"/>
    <w:rsid w:val="7E732E1C"/>
    <w:rsid w:val="7E7A711F"/>
    <w:rsid w:val="7E7B15E6"/>
    <w:rsid w:val="7E7E6C0F"/>
    <w:rsid w:val="7E8104AE"/>
    <w:rsid w:val="7E8D6E52"/>
    <w:rsid w:val="7E8E6727"/>
    <w:rsid w:val="7E8F29F0"/>
    <w:rsid w:val="7E93692F"/>
    <w:rsid w:val="7E995F93"/>
    <w:rsid w:val="7EA073DD"/>
    <w:rsid w:val="7EAB72D9"/>
    <w:rsid w:val="7EBC629A"/>
    <w:rsid w:val="7EC62364"/>
    <w:rsid w:val="7ECD00F0"/>
    <w:rsid w:val="7ED122C0"/>
    <w:rsid w:val="7EDE76AE"/>
    <w:rsid w:val="7EE051D4"/>
    <w:rsid w:val="7EE74495"/>
    <w:rsid w:val="7EF65819"/>
    <w:rsid w:val="7EFC5D86"/>
    <w:rsid w:val="7EFD6863"/>
    <w:rsid w:val="7EFF7BC4"/>
    <w:rsid w:val="7F023C5A"/>
    <w:rsid w:val="7F054C3B"/>
    <w:rsid w:val="7F0A343E"/>
    <w:rsid w:val="7F0E15C3"/>
    <w:rsid w:val="7F1002D3"/>
    <w:rsid w:val="7F147598"/>
    <w:rsid w:val="7F1B7FBA"/>
    <w:rsid w:val="7F20380D"/>
    <w:rsid w:val="7F207CC7"/>
    <w:rsid w:val="7F216F25"/>
    <w:rsid w:val="7F250E39"/>
    <w:rsid w:val="7F3217A8"/>
    <w:rsid w:val="7F3B065C"/>
    <w:rsid w:val="7F572FBC"/>
    <w:rsid w:val="7F622443"/>
    <w:rsid w:val="7F64514C"/>
    <w:rsid w:val="7F6E0A32"/>
    <w:rsid w:val="7F767421"/>
    <w:rsid w:val="7F826480"/>
    <w:rsid w:val="7F846F52"/>
    <w:rsid w:val="7F862F7E"/>
    <w:rsid w:val="7F871AF4"/>
    <w:rsid w:val="7F8811A2"/>
    <w:rsid w:val="7F8813C8"/>
    <w:rsid w:val="7F914720"/>
    <w:rsid w:val="7FA83A6B"/>
    <w:rsid w:val="7FBE01F5"/>
    <w:rsid w:val="7FCD3C36"/>
    <w:rsid w:val="7FCE14D1"/>
    <w:rsid w:val="7FD30895"/>
    <w:rsid w:val="7FE41FBA"/>
    <w:rsid w:val="7FED3367"/>
    <w:rsid w:val="7FF76C79"/>
    <w:rsid w:val="7FF85FFD"/>
    <w:rsid w:val="7FFB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1"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1"/>
    <w:pPr>
      <w:ind w:left="1316"/>
      <w:outlineLvl w:val="2"/>
    </w:pPr>
    <w:rPr>
      <w:rFonts w:ascii="宋体" w:hAnsi="宋体" w:eastAsia="宋体" w:cs="宋体"/>
      <w:b/>
      <w:bCs/>
      <w:sz w:val="24"/>
      <w:szCs w:val="24"/>
    </w:rPr>
  </w:style>
  <w:style w:type="paragraph" w:styleId="5">
    <w:name w:val="heading 4"/>
    <w:basedOn w:val="1"/>
    <w:next w:val="1"/>
    <w:qFormat/>
    <w:uiPriority w:val="9"/>
    <w:pPr>
      <w:keepNext/>
      <w:keepLines/>
      <w:ind w:firstLine="0" w:firstLineChars="0"/>
      <w:outlineLvl w:val="3"/>
    </w:pPr>
    <w:rPr>
      <w:rFonts w:ascii="Arial" w:hAnsi="Arial"/>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List 3"/>
    <w:basedOn w:val="1"/>
    <w:unhideWhenUsed/>
    <w:qFormat/>
    <w:uiPriority w:val="99"/>
    <w:pPr>
      <w:ind w:left="1260" w:hanging="420"/>
    </w:pPr>
  </w:style>
  <w:style w:type="paragraph" w:styleId="7">
    <w:name w:val="Normal Indent"/>
    <w:basedOn w:val="1"/>
    <w:next w:val="1"/>
    <w:semiHidden/>
    <w:unhideWhenUsed/>
    <w:qFormat/>
    <w:uiPriority w:val="99"/>
    <w:pPr>
      <w:ind w:firstLine="420" w:firstLineChars="200"/>
    </w:pPr>
  </w:style>
  <w:style w:type="paragraph" w:styleId="8">
    <w:name w:val="caption"/>
    <w:basedOn w:val="1"/>
    <w:next w:val="1"/>
    <w:qFormat/>
    <w:uiPriority w:val="35"/>
    <w:rPr>
      <w:rFonts w:ascii="Arial" w:hAnsi="Arial" w:eastAsia="黑体" w:cs="Arial"/>
      <w:sz w:val="20"/>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51"/>
    <w:unhideWhenUsed/>
    <w:qFormat/>
    <w:uiPriority w:val="99"/>
    <w:pPr>
      <w:jc w:val="left"/>
    </w:pPr>
  </w:style>
  <w:style w:type="paragraph" w:styleId="11">
    <w:name w:val="Body Text"/>
    <w:basedOn w:val="1"/>
    <w:next w:val="1"/>
    <w:link w:val="42"/>
    <w:semiHidden/>
    <w:unhideWhenUsed/>
    <w:qFormat/>
    <w:uiPriority w:val="99"/>
    <w:pPr>
      <w:spacing w:after="120"/>
    </w:pPr>
  </w:style>
  <w:style w:type="paragraph" w:styleId="12">
    <w:name w:val="Body Text Indent"/>
    <w:basedOn w:val="1"/>
    <w:next w:val="11"/>
    <w:qFormat/>
    <w:uiPriority w:val="0"/>
    <w:pPr>
      <w:spacing w:after="120"/>
      <w:ind w:left="420" w:leftChars="200"/>
    </w:pPr>
  </w:style>
  <w:style w:type="paragraph" w:styleId="13">
    <w:name w:val="Plain Text"/>
    <w:basedOn w:val="1"/>
    <w:link w:val="60"/>
    <w:qFormat/>
    <w:uiPriority w:val="99"/>
    <w:pPr>
      <w:spacing w:line="240" w:lineRule="atLeast"/>
    </w:pPr>
    <w:rPr>
      <w:rFonts w:ascii="宋体" w:hAnsi="Courier New" w:eastAsia="宋体"/>
      <w:sz w:val="28"/>
      <w:szCs w:val="21"/>
    </w:rPr>
  </w:style>
  <w:style w:type="paragraph" w:styleId="14">
    <w:name w:val="Body Text Indent 2"/>
    <w:basedOn w:val="1"/>
    <w:next w:val="1"/>
    <w:qFormat/>
    <w:uiPriority w:val="0"/>
    <w:pPr>
      <w:spacing w:line="500" w:lineRule="exact"/>
      <w:ind w:firstLine="556"/>
    </w:pPr>
    <w:rPr>
      <w:rFonts w:ascii="仿宋_GB2312" w:eastAsia="仿宋_GB2312"/>
      <w:sz w:val="28"/>
    </w:rPr>
  </w:style>
  <w:style w:type="paragraph" w:styleId="15">
    <w:name w:val="Balloon Text"/>
    <w:basedOn w:val="1"/>
    <w:link w:val="39"/>
    <w:semiHidden/>
    <w:unhideWhenUsed/>
    <w:qFormat/>
    <w:uiPriority w:val="99"/>
    <w:rPr>
      <w:sz w:val="18"/>
      <w:szCs w:val="18"/>
    </w:rPr>
  </w:style>
  <w:style w:type="paragraph" w:styleId="16">
    <w:name w:val="footer"/>
    <w:basedOn w:val="1"/>
    <w:link w:val="50"/>
    <w:unhideWhenUsed/>
    <w:qFormat/>
    <w:uiPriority w:val="99"/>
    <w:pPr>
      <w:tabs>
        <w:tab w:val="center" w:pos="4153"/>
        <w:tab w:val="right" w:pos="8306"/>
      </w:tabs>
      <w:snapToGrid w:val="0"/>
      <w:jc w:val="left"/>
    </w:pPr>
    <w:rPr>
      <w:sz w:val="18"/>
      <w:szCs w:val="18"/>
    </w:rPr>
  </w:style>
  <w:style w:type="paragraph" w:styleId="17">
    <w:name w:val="header"/>
    <w:basedOn w:val="1"/>
    <w:next w:val="16"/>
    <w:link w:val="4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index heading"/>
    <w:basedOn w:val="1"/>
    <w:next w:val="20"/>
    <w:qFormat/>
    <w:uiPriority w:val="0"/>
    <w:rPr>
      <w:rFonts w:ascii="Arial" w:hAnsi="Arial"/>
      <w:b/>
    </w:rPr>
  </w:style>
  <w:style w:type="paragraph" w:styleId="20">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21">
    <w:name w:val="List"/>
    <w:basedOn w:val="1"/>
    <w:qFormat/>
    <w:uiPriority w:val="0"/>
    <w:pPr>
      <w:adjustRightInd/>
      <w:snapToGrid/>
      <w:spacing w:line="240" w:lineRule="auto"/>
      <w:ind w:left="200" w:hanging="200" w:hangingChars="200"/>
    </w:pPr>
    <w:rPr>
      <w:snapToGrid/>
      <w:spacing w:val="0"/>
      <w:kern w:val="2"/>
      <w:sz w:val="28"/>
      <w:szCs w:val="24"/>
    </w:rPr>
  </w:style>
  <w:style w:type="paragraph" w:styleId="22">
    <w:name w:val="Body Text Indent 3"/>
    <w:basedOn w:val="1"/>
    <w:qFormat/>
    <w:uiPriority w:val="0"/>
    <w:pPr>
      <w:spacing w:after="120"/>
      <w:ind w:left="420" w:leftChars="200"/>
    </w:pPr>
    <w:rPr>
      <w:sz w:val="16"/>
      <w:szCs w:val="16"/>
    </w:rPr>
  </w:style>
  <w:style w:type="paragraph" w:styleId="23">
    <w:name w:val="Normal (Web)"/>
    <w:basedOn w:val="1"/>
    <w:link w:val="40"/>
    <w:qFormat/>
    <w:uiPriority w:val="0"/>
    <w:pPr>
      <w:widowControl/>
      <w:spacing w:before="100" w:beforeAutospacing="1" w:after="100" w:afterAutospacing="1"/>
      <w:jc w:val="left"/>
    </w:pPr>
    <w:rPr>
      <w:rFonts w:ascii="宋体" w:hAnsi="宋体" w:eastAsia="宋体" w:cs="Times New Roman"/>
      <w:sz w:val="24"/>
    </w:rPr>
  </w:style>
  <w:style w:type="paragraph" w:styleId="24">
    <w:name w:val="Body Text First Indent"/>
    <w:basedOn w:val="11"/>
    <w:next w:val="1"/>
    <w:link w:val="43"/>
    <w:qFormat/>
    <w:uiPriority w:val="0"/>
    <w:pPr>
      <w:ind w:firstLine="420" w:firstLineChars="100"/>
    </w:pPr>
    <w:rPr>
      <w:szCs w:val="24"/>
    </w:rPr>
  </w:style>
  <w:style w:type="paragraph" w:styleId="25">
    <w:name w:val="Body Text First Indent 2"/>
    <w:basedOn w:val="1"/>
    <w:next w:val="24"/>
    <w:qFormat/>
    <w:uiPriority w:val="0"/>
    <w:pPr>
      <w:ind w:firstLine="42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22"/>
    <w:rPr>
      <w:b/>
      <w:bCs/>
    </w:rPr>
  </w:style>
  <w:style w:type="character" w:styleId="30">
    <w:name w:val="Emphasis"/>
    <w:basedOn w:val="28"/>
    <w:qFormat/>
    <w:uiPriority w:val="20"/>
    <w:rPr>
      <w:i/>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qFormat/>
    <w:uiPriority w:val="0"/>
    <w:rPr>
      <w:sz w:val="21"/>
    </w:rPr>
  </w:style>
  <w:style w:type="paragraph" w:customStyle="1" w:styleId="3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4">
    <w:name w:val="Default"/>
    <w:basedOn w:val="35"/>
    <w:qFormat/>
    <w:uiPriority w:val="0"/>
    <w:pPr>
      <w:widowControl w:val="0"/>
      <w:autoSpaceDE w:val="0"/>
      <w:autoSpaceDN w:val="0"/>
    </w:pPr>
    <w:rPr>
      <w:rFonts w:ascii="宋体" w:eastAsia="宋体" w:cs="宋体"/>
      <w:color w:val="000000"/>
      <w:sz w:val="24"/>
    </w:rPr>
  </w:style>
  <w:style w:type="paragraph" w:customStyle="1" w:styleId="35">
    <w:name w:val="纯文本1"/>
    <w:basedOn w:val="1"/>
    <w:qFormat/>
    <w:uiPriority w:val="0"/>
    <w:pPr>
      <w:adjustRightInd w:val="0"/>
    </w:pPr>
    <w:rPr>
      <w:rFonts w:ascii="宋体" w:hAnsi="Courier New"/>
    </w:rPr>
  </w:style>
  <w:style w:type="paragraph" w:customStyle="1" w:styleId="36">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37">
    <w:name w:val="标题 1 Char"/>
    <w:basedOn w:val="28"/>
    <w:link w:val="2"/>
    <w:qFormat/>
    <w:uiPriority w:val="1"/>
    <w:rPr>
      <w:b/>
      <w:bCs/>
      <w:kern w:val="44"/>
      <w:sz w:val="44"/>
      <w:szCs w:val="44"/>
    </w:rPr>
  </w:style>
  <w:style w:type="character" w:styleId="38">
    <w:name w:val="Placeholder Text"/>
    <w:basedOn w:val="28"/>
    <w:semiHidden/>
    <w:qFormat/>
    <w:uiPriority w:val="99"/>
    <w:rPr>
      <w:color w:val="808080"/>
    </w:rPr>
  </w:style>
  <w:style w:type="character" w:customStyle="1" w:styleId="39">
    <w:name w:val="批注框文本 Char"/>
    <w:basedOn w:val="28"/>
    <w:link w:val="15"/>
    <w:semiHidden/>
    <w:qFormat/>
    <w:uiPriority w:val="99"/>
    <w:rPr>
      <w:sz w:val="18"/>
      <w:szCs w:val="18"/>
    </w:rPr>
  </w:style>
  <w:style w:type="character" w:customStyle="1" w:styleId="40">
    <w:name w:val="普通(网站) Char"/>
    <w:link w:val="23"/>
    <w:qFormat/>
    <w:uiPriority w:val="0"/>
    <w:rPr>
      <w:rFonts w:ascii="宋体" w:hAnsi="宋体" w:eastAsia="宋体" w:cs="Times New Roman"/>
      <w:sz w:val="24"/>
    </w:rPr>
  </w:style>
  <w:style w:type="paragraph" w:customStyle="1" w:styleId="41">
    <w:name w:val="Table Paragraph"/>
    <w:basedOn w:val="1"/>
    <w:qFormat/>
    <w:uiPriority w:val="1"/>
    <w:rPr>
      <w:rFonts w:ascii="Times New Roman" w:hAnsi="Times New Roman" w:eastAsia="宋体" w:cs="Times New Roman"/>
      <w:szCs w:val="24"/>
    </w:rPr>
  </w:style>
  <w:style w:type="character" w:customStyle="1" w:styleId="42">
    <w:name w:val="正文文本 Char"/>
    <w:basedOn w:val="28"/>
    <w:link w:val="11"/>
    <w:semiHidden/>
    <w:qFormat/>
    <w:uiPriority w:val="99"/>
  </w:style>
  <w:style w:type="character" w:customStyle="1" w:styleId="43">
    <w:name w:val="正文首行缩进 Char"/>
    <w:basedOn w:val="42"/>
    <w:link w:val="24"/>
    <w:qFormat/>
    <w:uiPriority w:val="0"/>
    <w:rPr>
      <w:szCs w:val="24"/>
    </w:rPr>
  </w:style>
  <w:style w:type="paragraph" w:customStyle="1" w:styleId="44">
    <w:name w:val="表格文字"/>
    <w:basedOn w:val="45"/>
    <w:qFormat/>
    <w:uiPriority w:val="0"/>
    <w:pPr>
      <w:adjustRightInd w:val="0"/>
      <w:jc w:val="center"/>
    </w:pPr>
    <w:rPr>
      <w:szCs w:val="21"/>
    </w:rPr>
  </w:style>
  <w:style w:type="paragraph" w:customStyle="1" w:styleId="45">
    <w:name w:val="正文格式"/>
    <w:basedOn w:val="1"/>
    <w:qFormat/>
    <w:uiPriority w:val="0"/>
    <w:pPr>
      <w:ind w:firstLine="480"/>
    </w:pPr>
    <w:rPr>
      <w:rFonts w:eastAsia="仿宋_GB2312"/>
    </w:rPr>
  </w:style>
  <w:style w:type="paragraph" w:customStyle="1" w:styleId="46">
    <w:name w:val="表格"/>
    <w:basedOn w:val="21"/>
    <w:link w:val="47"/>
    <w:qFormat/>
    <w:uiPriority w:val="0"/>
    <w:pPr>
      <w:spacing w:line="360" w:lineRule="exact"/>
      <w:jc w:val="center"/>
    </w:pPr>
    <w:rPr>
      <w:kern w:val="0"/>
      <w:sz w:val="24"/>
      <w:szCs w:val="24"/>
    </w:rPr>
  </w:style>
  <w:style w:type="character" w:customStyle="1" w:styleId="47">
    <w:name w:val="表格 Char"/>
    <w:link w:val="46"/>
    <w:qFormat/>
    <w:uiPriority w:val="0"/>
    <w:rPr>
      <w:kern w:val="0"/>
      <w:sz w:val="24"/>
      <w:szCs w:val="24"/>
    </w:rPr>
  </w:style>
  <w:style w:type="paragraph" w:customStyle="1" w:styleId="4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页眉 Char"/>
    <w:basedOn w:val="28"/>
    <w:link w:val="17"/>
    <w:semiHidden/>
    <w:qFormat/>
    <w:uiPriority w:val="99"/>
    <w:rPr>
      <w:sz w:val="18"/>
      <w:szCs w:val="18"/>
    </w:rPr>
  </w:style>
  <w:style w:type="character" w:customStyle="1" w:styleId="50">
    <w:name w:val="页脚 Char"/>
    <w:basedOn w:val="28"/>
    <w:link w:val="16"/>
    <w:qFormat/>
    <w:uiPriority w:val="99"/>
    <w:rPr>
      <w:sz w:val="18"/>
      <w:szCs w:val="18"/>
    </w:rPr>
  </w:style>
  <w:style w:type="character" w:customStyle="1" w:styleId="51">
    <w:name w:val="批注文字 Char"/>
    <w:basedOn w:val="28"/>
    <w:link w:val="10"/>
    <w:qFormat/>
    <w:uiPriority w:val="99"/>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4">
    <w:name w:val="正文1"/>
    <w:basedOn w:val="55"/>
    <w:qFormat/>
    <w:uiPriority w:val="0"/>
    <w:pPr>
      <w:widowControl/>
      <w:spacing w:line="360" w:lineRule="auto"/>
      <w:ind w:firstLine="200" w:firstLineChars="200"/>
      <w:jc w:val="left"/>
    </w:pPr>
    <w:rPr>
      <w:rFonts w:ascii="Calibri" w:hAnsi="Calibri"/>
      <w:kern w:val="0"/>
      <w:sz w:val="24"/>
    </w:rPr>
  </w:style>
  <w:style w:type="paragraph" w:customStyle="1" w:styleId="55">
    <w:name w:val="正 文"/>
    <w:basedOn w:val="1"/>
    <w:qFormat/>
    <w:uiPriority w:val="0"/>
    <w:pPr>
      <w:adjustRightInd w:val="0"/>
      <w:snapToGrid w:val="0"/>
      <w:spacing w:line="360" w:lineRule="auto"/>
      <w:ind w:firstLine="480" w:firstLineChars="200"/>
    </w:pPr>
    <w:rPr>
      <w:sz w:val="24"/>
      <w:lang w:val="zh-CN"/>
    </w:rPr>
  </w:style>
  <w:style w:type="paragraph" w:customStyle="1" w:styleId="56">
    <w:name w:val="表标题"/>
    <w:basedOn w:val="1"/>
    <w:next w:val="1"/>
    <w:qFormat/>
    <w:uiPriority w:val="0"/>
    <w:pPr>
      <w:widowControl/>
      <w:adjustRightInd w:val="0"/>
      <w:snapToGrid w:val="0"/>
      <w:spacing w:afterLines="50" w:line="320" w:lineRule="exact"/>
      <w:jc w:val="center"/>
    </w:pPr>
    <w:rPr>
      <w:b/>
      <w:kern w:val="0"/>
      <w:sz w:val="20"/>
      <w:szCs w:val="20"/>
    </w:rPr>
  </w:style>
  <w:style w:type="paragraph" w:customStyle="1" w:styleId="57">
    <w:name w:val="表格内容"/>
    <w:basedOn w:val="1"/>
    <w:next w:val="1"/>
    <w:qFormat/>
    <w:uiPriority w:val="0"/>
    <w:pPr>
      <w:jc w:val="center"/>
    </w:pPr>
    <w:rPr>
      <w:rFonts w:hint="eastAsia"/>
    </w:rPr>
  </w:style>
  <w:style w:type="paragraph" w:customStyle="1" w:styleId="58">
    <w:name w:val="表格标题"/>
    <w:basedOn w:val="1"/>
    <w:qFormat/>
    <w:uiPriority w:val="0"/>
    <w:pPr>
      <w:jc w:val="center"/>
    </w:pPr>
    <w:rPr>
      <w:rFonts w:hint="eastAsia"/>
      <w:b/>
    </w:rPr>
  </w:style>
  <w:style w:type="paragraph" w:customStyle="1" w:styleId="59">
    <w:name w:val="一级标题"/>
    <w:basedOn w:val="1"/>
    <w:qFormat/>
    <w:uiPriority w:val="0"/>
    <w:pPr>
      <w:widowControl/>
      <w:spacing w:line="360" w:lineRule="auto"/>
      <w:jc w:val="left"/>
    </w:pPr>
    <w:rPr>
      <w:rFonts w:ascii="Times New Roman" w:hAnsi="Times New Roman" w:eastAsia="宋体" w:cs="Times New Roman"/>
      <w:b/>
      <w:kern w:val="0"/>
      <w:sz w:val="24"/>
      <w:szCs w:val="24"/>
    </w:rPr>
  </w:style>
  <w:style w:type="character" w:customStyle="1" w:styleId="60">
    <w:name w:val="纯文本 Char"/>
    <w:basedOn w:val="28"/>
    <w:link w:val="13"/>
    <w:qFormat/>
    <w:uiPriority w:val="99"/>
    <w:rPr>
      <w:rFonts w:ascii="宋体" w:hAnsi="Courier New" w:cstheme="minorBidi"/>
      <w:kern w:val="2"/>
      <w:sz w:val="28"/>
      <w:szCs w:val="21"/>
    </w:rPr>
  </w:style>
  <w:style w:type="paragraph" w:customStyle="1" w:styleId="61">
    <w:name w:val="ZH正文"/>
    <w:basedOn w:val="1"/>
    <w:qFormat/>
    <w:uiPriority w:val="0"/>
  </w:style>
  <w:style w:type="paragraph" w:customStyle="1" w:styleId="62">
    <w:name w:val="正文2"/>
    <w:basedOn w:val="1"/>
    <w:qFormat/>
    <w:uiPriority w:val="0"/>
    <w:pPr>
      <w:adjustRightInd w:val="0"/>
      <w:snapToGrid w:val="0"/>
      <w:spacing w:line="440" w:lineRule="atLeast"/>
      <w:ind w:firstLine="567" w:firstLineChars="0"/>
    </w:pPr>
    <w:rPr>
      <w:szCs w:val="20"/>
    </w:rPr>
  </w:style>
  <w:style w:type="paragraph" w:customStyle="1" w:styleId="63">
    <w:name w:val="小标题"/>
    <w:basedOn w:val="1"/>
    <w:qFormat/>
    <w:uiPriority w:val="0"/>
    <w:pPr>
      <w:jc w:val="left"/>
    </w:pPr>
    <w:rPr>
      <w:b/>
    </w:rPr>
  </w:style>
  <w:style w:type="paragraph" w:styleId="64">
    <w:name w:val="List Paragraph"/>
    <w:basedOn w:val="1"/>
    <w:qFormat/>
    <w:uiPriority w:val="34"/>
    <w:pPr>
      <w:ind w:firstLine="420"/>
    </w:pPr>
  </w:style>
  <w:style w:type="paragraph" w:customStyle="1" w:styleId="65">
    <w:name w:val="样式12"/>
    <w:basedOn w:val="66"/>
    <w:qFormat/>
    <w:uiPriority w:val="0"/>
    <w:rPr>
      <w:rFonts w:hAnsi="宋体"/>
      <w:szCs w:val="24"/>
    </w:rPr>
  </w:style>
  <w:style w:type="paragraph" w:customStyle="1" w:styleId="66">
    <w:name w:val="样式6"/>
    <w:basedOn w:val="1"/>
    <w:qFormat/>
    <w:uiPriority w:val="0"/>
    <w:pPr>
      <w:autoSpaceDE w:val="0"/>
      <w:autoSpaceDN w:val="0"/>
      <w:adjustRightInd w:val="0"/>
      <w:spacing w:line="360" w:lineRule="auto"/>
      <w:ind w:firstLine="480" w:firstLineChars="200"/>
    </w:pPr>
    <w:rPr>
      <w:rFonts w:cs="宋体"/>
      <w:kern w:val="0"/>
      <w:sz w:val="24"/>
      <w:lang w:val="zh-CN"/>
    </w:rPr>
  </w:style>
  <w:style w:type="paragraph" w:customStyle="1" w:styleId="67">
    <w:name w:val="加缩"/>
    <w:basedOn w:val="3"/>
    <w:qFormat/>
    <w:uiPriority w:val="0"/>
    <w:pPr>
      <w:ind w:firstLine="200" w:firstLineChars="200"/>
    </w:pPr>
    <w:rPr>
      <w:rFonts w:ascii="Times New Roman" w:hAnsi="Times New Roman"/>
      <w:sz w:val="24"/>
    </w:rPr>
  </w:style>
  <w:style w:type="paragraph" w:customStyle="1" w:styleId="68">
    <w:name w:val="1jw正文"/>
    <w:qFormat/>
    <w:uiPriority w:val="0"/>
    <w:pPr>
      <w:spacing w:beforeLines="50" w:afterLines="50" w:line="360" w:lineRule="auto"/>
      <w:ind w:firstLine="200" w:firstLineChars="200"/>
    </w:pPr>
    <w:rPr>
      <w:rFonts w:ascii="Times New Roman" w:hAnsi="Times New Roman" w:eastAsia="宋体" w:cs="宋体"/>
      <w:sz w:val="24"/>
      <w:szCs w:val="24"/>
      <w:lang w:val="en-US" w:eastAsia="zh-CN" w:bidi="ar-SA"/>
    </w:rPr>
  </w:style>
  <w:style w:type="paragraph" w:customStyle="1" w:styleId="69">
    <w:name w:val="样式 标题 1 + 四号 段前: 0 磅 段后: 0 磅 行距: 1.5 倍行距"/>
    <w:basedOn w:val="70"/>
    <w:next w:val="71"/>
    <w:qFormat/>
    <w:uiPriority w:val="0"/>
    <w:pPr>
      <w:spacing w:line="360" w:lineRule="auto"/>
      <w:jc w:val="center"/>
    </w:pPr>
    <w:rPr>
      <w:sz w:val="28"/>
    </w:rPr>
  </w:style>
  <w:style w:type="paragraph" w:customStyle="1" w:styleId="70">
    <w:name w:val="1正文"/>
    <w:basedOn w:val="1"/>
    <w:qFormat/>
    <w:uiPriority w:val="0"/>
    <w:pPr>
      <w:spacing w:line="500" w:lineRule="exact"/>
      <w:ind w:firstLine="588" w:firstLineChars="196"/>
    </w:pPr>
    <w:rPr>
      <w:rFonts w:eastAsia="楷体_GB2312"/>
      <w:sz w:val="30"/>
      <w:szCs w:val="30"/>
    </w:rPr>
  </w:style>
  <w:style w:type="paragraph" w:customStyle="1" w:styleId="71">
    <w:name w:val="文本正文"/>
    <w:basedOn w:val="1"/>
    <w:qFormat/>
    <w:uiPriority w:val="0"/>
    <w:pPr>
      <w:snapToGrid w:val="0"/>
      <w:spacing w:line="360" w:lineRule="auto"/>
      <w:ind w:firstLine="510"/>
      <w:jc w:val="left"/>
    </w:pPr>
    <w:rPr>
      <w:spacing w:val="4"/>
      <w:kern w:val="24"/>
      <w:szCs w:val="24"/>
      <w:lang w:val="zh-CN"/>
    </w:rPr>
  </w:style>
  <w:style w:type="paragraph" w:customStyle="1" w:styleId="72">
    <w:name w:val="Normal Indent1"/>
    <w:basedOn w:val="1"/>
    <w:qFormat/>
    <w:uiPriority w:val="0"/>
    <w:pPr>
      <w:ind w:firstLine="420" w:firstLineChars="200"/>
    </w:pPr>
  </w:style>
  <w:style w:type="character" w:customStyle="1" w:styleId="73">
    <w:name w:val="NormalCharacter"/>
    <w:semiHidden/>
    <w:qFormat/>
    <w:uiPriority w:val="0"/>
    <w:rPr>
      <w:rFonts w:ascii="Times New Roman" w:hAnsi="Times New Roman" w:eastAsia="宋体" w:cs="Times New Roman"/>
      <w:kern w:val="2"/>
      <w:sz w:val="21"/>
      <w:szCs w:val="21"/>
      <w:lang w:val="en-US" w:eastAsia="zh-CN" w:bidi="ar-SA"/>
    </w:rPr>
  </w:style>
  <w:style w:type="paragraph" w:customStyle="1" w:styleId="74">
    <w:name w:val="表格 短文本"/>
    <w:basedOn w:val="1"/>
    <w:qFormat/>
    <w:uiPriority w:val="0"/>
    <w:pPr>
      <w:spacing w:line="360" w:lineRule="auto"/>
      <w:ind w:firstLine="720" w:firstLineChars="200"/>
      <w:jc w:val="center"/>
    </w:pPr>
    <w:rPr>
      <w:sz w:val="24"/>
    </w:rPr>
  </w:style>
  <w:style w:type="paragraph" w:customStyle="1" w:styleId="75">
    <w:name w:val="魏秀珍标题4（1.1.1.1）"/>
    <w:basedOn w:val="5"/>
    <w:qFormat/>
    <w:uiPriority w:val="0"/>
    <w:pPr>
      <w:tabs>
        <w:tab w:val="left" w:pos="2040"/>
      </w:tabs>
      <w:adjustRightInd w:val="0"/>
      <w:snapToGrid w:val="0"/>
      <w:spacing w:before="0" w:after="0" w:line="360" w:lineRule="auto"/>
      <w:jc w:val="left"/>
    </w:pPr>
    <w:rPr>
      <w:rFonts w:ascii="Times New Roman" w:hAnsi="Times New Roman" w:eastAsia="黑体"/>
    </w:rPr>
  </w:style>
  <w:style w:type="paragraph" w:customStyle="1" w:styleId="76">
    <w:name w:val="王五"/>
    <w:basedOn w:val="1"/>
    <w:qFormat/>
    <w:uiPriority w:val="0"/>
    <w:pPr>
      <w:spacing w:line="360" w:lineRule="auto"/>
      <w:ind w:firstLine="200" w:firstLineChars="200"/>
      <w:jc w:val="left"/>
    </w:pPr>
    <w:rPr>
      <w:kern w:val="0"/>
      <w:sz w:val="24"/>
      <w:szCs w:val="20"/>
    </w:rPr>
  </w:style>
  <w:style w:type="paragraph" w:customStyle="1" w:styleId="77">
    <w:name w:val="p0"/>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78">
    <w:name w:val="Table Normal"/>
    <w:unhideWhenUsed/>
    <w:qFormat/>
    <w:uiPriority w:val="0"/>
    <w:tblPr>
      <w:tblLayout w:type="fixed"/>
      <w:tblCellMar>
        <w:top w:w="0" w:type="dxa"/>
        <w:left w:w="0" w:type="dxa"/>
        <w:bottom w:w="0" w:type="dxa"/>
        <w:right w:w="0" w:type="dxa"/>
      </w:tblCellMar>
    </w:tblPr>
  </w:style>
  <w:style w:type="paragraph" w:customStyle="1" w:styleId="79">
    <w:name w:val="图标标题2"/>
    <w:basedOn w:val="80"/>
    <w:next w:val="80"/>
    <w:qFormat/>
    <w:uiPriority w:val="0"/>
    <w:pPr>
      <w:wordWrap w:val="0"/>
      <w:topLinePunct/>
      <w:spacing w:line="360" w:lineRule="auto"/>
    </w:pPr>
    <w:rPr>
      <w:snapToGrid w:val="0"/>
      <w:color w:val="FF0000"/>
    </w:rPr>
  </w:style>
  <w:style w:type="paragraph" w:customStyle="1" w:styleId="80">
    <w:name w:val="图标标题"/>
    <w:basedOn w:val="1"/>
    <w:qFormat/>
    <w:uiPriority w:val="0"/>
    <w:pPr>
      <w:adjustRightInd w:val="0"/>
      <w:snapToGrid w:val="0"/>
      <w:jc w:val="center"/>
    </w:pPr>
    <w:rPr>
      <w:b/>
      <w:bCs/>
    </w:rPr>
  </w:style>
  <w:style w:type="paragraph" w:customStyle="1" w:styleId="81">
    <w:name w:val="标题2"/>
    <w:basedOn w:val="13"/>
    <w:next w:val="1"/>
    <w:qFormat/>
    <w:uiPriority w:val="0"/>
    <w:pPr>
      <w:adjustRightInd w:val="0"/>
      <w:snapToGrid w:val="0"/>
      <w:spacing w:before="120" w:after="120" w:line="360" w:lineRule="auto"/>
    </w:pPr>
    <w:rPr>
      <w:rFonts w:ascii="Times New Roman" w:hAnsi="Times New Roman"/>
      <w:b/>
      <w:color w:val="000000" w:themeColor="text1"/>
      <w:sz w:val="28"/>
      <w14:textFill>
        <w14:solidFill>
          <w14:schemeClr w14:val="tx1"/>
        </w14:solidFill>
      </w14:textFill>
    </w:rPr>
  </w:style>
  <w:style w:type="paragraph" w:customStyle="1" w:styleId="82">
    <w:name w:val="报告表格1"/>
    <w:basedOn w:val="83"/>
    <w:qFormat/>
    <w:uiPriority w:val="0"/>
    <w:pPr>
      <w:autoSpaceDE w:val="0"/>
      <w:autoSpaceDN w:val="0"/>
      <w:snapToGrid/>
      <w:spacing w:before="40" w:after="40"/>
    </w:pPr>
    <w:rPr>
      <w:b/>
      <w:color w:val="000000" w:themeColor="text1"/>
      <w:sz w:val="36"/>
      <w:szCs w:val="36"/>
      <w14:textFill>
        <w14:solidFill>
          <w14:schemeClr w14:val="tx1"/>
        </w14:solidFill>
      </w14:textFill>
    </w:rPr>
  </w:style>
  <w:style w:type="paragraph" w:customStyle="1" w:styleId="83">
    <w:name w:val="报告表 格"/>
    <w:basedOn w:val="1"/>
    <w:qFormat/>
    <w:uiPriority w:val="0"/>
    <w:pPr>
      <w:adjustRightInd w:val="0"/>
      <w:snapToGrid w:val="0"/>
      <w:jc w:val="center"/>
    </w:pPr>
    <w:rPr>
      <w:bCs/>
      <w:szCs w:val="21"/>
    </w:rPr>
  </w:style>
  <w:style w:type="paragraph" w:customStyle="1" w:styleId="84">
    <w:name w:val="报告 表 格"/>
    <w:basedOn w:val="85"/>
    <w:qFormat/>
    <w:uiPriority w:val="0"/>
    <w:rPr>
      <w:color w:val="auto"/>
    </w:rPr>
  </w:style>
  <w:style w:type="paragraph" w:customStyle="1" w:styleId="85">
    <w:name w:val="报告表格"/>
    <w:basedOn w:val="1"/>
    <w:qFormat/>
    <w:uiPriority w:val="0"/>
    <w:pPr>
      <w:autoSpaceDE w:val="0"/>
      <w:autoSpaceDN w:val="0"/>
      <w:adjustRightInd w:val="0"/>
      <w:spacing w:before="40" w:after="40"/>
      <w:jc w:val="center"/>
    </w:pPr>
    <w:rPr>
      <w:color w:val="FF0000"/>
      <w:kern w:val="0"/>
    </w:rPr>
  </w:style>
  <w:style w:type="paragraph" w:customStyle="1" w:styleId="86">
    <w:name w:val="表头文字"/>
    <w:basedOn w:val="1"/>
    <w:next w:val="1"/>
    <w:qFormat/>
    <w:uiPriority w:val="0"/>
    <w:pPr>
      <w:jc w:val="center"/>
    </w:pPr>
    <w:rPr>
      <w:b/>
      <w:sz w:val="21"/>
    </w:rPr>
  </w:style>
  <w:style w:type="paragraph" w:customStyle="1" w:styleId="87">
    <w:name w:val="环评正文"/>
    <w:basedOn w:val="1"/>
    <w:qFormat/>
    <w:uiPriority w:val="0"/>
    <w:pPr>
      <w:adjustRightInd w:val="0"/>
      <w:snapToGrid w:val="0"/>
      <w:spacing w:before="50" w:beforeLines="50" w:after="50" w:afterLines="50" w:line="360" w:lineRule="auto"/>
      <w:ind w:firstLine="200" w:firstLineChars="200"/>
      <w:jc w:val="left"/>
    </w:pPr>
    <w:rPr>
      <w:rFonts w:ascii="宋体" w:hAnsi="宋体"/>
      <w:kern w:val="0"/>
      <w:sz w:val="24"/>
      <w:szCs w:val="22"/>
    </w:rPr>
  </w:style>
  <w:style w:type="paragraph" w:customStyle="1" w:styleId="88">
    <w:name w:val="表文"/>
    <w:basedOn w:val="1"/>
    <w:qFormat/>
    <w:uiPriority w:val="0"/>
    <w:pPr>
      <w:tabs>
        <w:tab w:val="left" w:pos="1021"/>
      </w:tabs>
      <w:spacing w:line="300" w:lineRule="auto"/>
    </w:pPr>
    <w:rPr>
      <w:kern w:val="0"/>
      <w:position w:val="-24"/>
      <w:sz w:val="24"/>
      <w:szCs w:val="21"/>
    </w:rPr>
  </w:style>
  <w:style w:type="paragraph" w:customStyle="1" w:styleId="89">
    <w:name w:val="报告正文"/>
    <w:basedOn w:val="1"/>
    <w:qFormat/>
    <w:uiPriority w:val="0"/>
    <w:pPr>
      <w:adjustRightInd w:val="0"/>
      <w:snapToGrid w:val="0"/>
      <w:spacing w:beforeLines="50" w:afterLines="50" w:line="360" w:lineRule="auto"/>
      <w:ind w:firstLine="200" w:firstLineChars="200"/>
      <w:jc w:val="left"/>
    </w:pPr>
    <w:rPr>
      <w:spacing w:val="4"/>
      <w:sz w:val="24"/>
    </w:rPr>
  </w:style>
  <w:style w:type="paragraph" w:customStyle="1" w:styleId="9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表题"/>
    <w:basedOn w:val="1"/>
    <w:next w:val="1"/>
    <w:qFormat/>
    <w:uiPriority w:val="0"/>
    <w:pPr>
      <w:spacing w:line="360" w:lineRule="auto"/>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22265</Words>
  <Characters>23098</Characters>
  <Lines>353</Lines>
  <Paragraphs>99</Paragraphs>
  <TotalTime>0</TotalTime>
  <ScaleCrop>false</ScaleCrop>
  <LinksUpToDate>false</LinksUpToDate>
  <CharactersWithSpaces>23119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2021-09-08T06:29:00Z</dcterms:created>
  <dc:creator>微软用户</dc:creator>
  <cp:lastModifiedBy>Administrator</cp:lastModifiedBy>
  <cp:lastPrinted>2024-11-01T09:27:00Z</cp:lastPrinted>
  <dcterms:modified xsi:type="dcterms:W3CDTF">2025-02-19T06:49:09Z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143A0B1256C240AFA366001AA05AB5A8_13</vt:lpwstr>
  </property>
  <property fmtid="{D5CDD505-2E9C-101B-9397-08002B2CF9AE}" pid="4" name="commondata">
    <vt:lpwstr>eyJoZGlkIjoiM2RhYTliMjY3M2U2OTYxNzMzNGQ3ZjdhMmY0ZDRjNTIifQ==</vt:lpwstr>
  </property>
  <property fmtid="{D5CDD505-2E9C-101B-9397-08002B2CF9AE}" pid="5" name="KSOTemplateDocerSaveRecord">
    <vt:lpwstr>eyJoZGlkIjoiOWE0OGY3MTAzZGQwNDQ1YjFkYTU5ZmNmNzQ5MDAwNzQiLCJ1c2VySWQiOiIxNjQ3NTc1MzMxIn0=</vt:lpwstr>
  </property>
</Properties>
</file>